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8C9" w:rsidRPr="00FF48AB" w:rsidRDefault="009A68C9" w:rsidP="00513B1B">
      <w:pPr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773"/>
        <w:gridCol w:w="789"/>
        <w:gridCol w:w="61"/>
        <w:gridCol w:w="709"/>
        <w:gridCol w:w="709"/>
        <w:gridCol w:w="236"/>
        <w:gridCol w:w="1653"/>
        <w:gridCol w:w="946"/>
        <w:gridCol w:w="1559"/>
        <w:gridCol w:w="1984"/>
      </w:tblGrid>
      <w:tr w:rsidR="00513B1B" w:rsidRPr="00FF48AB" w:rsidTr="00613BF1">
        <w:trPr>
          <w:trHeight w:val="540"/>
        </w:trPr>
        <w:tc>
          <w:tcPr>
            <w:tcW w:w="2457" w:type="dxa"/>
            <w:gridSpan w:val="3"/>
            <w:vMerge w:val="restart"/>
            <w:vAlign w:val="center"/>
          </w:tcPr>
          <w:p w:rsidR="00324B87" w:rsidRPr="00FF48AB" w:rsidRDefault="00324B87" w:rsidP="00513B1B">
            <w:pPr>
              <w:ind w:left="-90" w:right="-103"/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  <w:noProof/>
                <w:lang w:val="en-GB" w:eastAsia="en-GB" w:bidi="sa-IN"/>
              </w:rPr>
              <w:drawing>
                <wp:inline distT="0" distB="0" distL="0" distR="0" wp14:anchorId="412DFC82" wp14:editId="1C3CE8C9">
                  <wp:extent cx="1330656" cy="791570"/>
                  <wp:effectExtent l="0" t="0" r="3175" b="88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983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4" w:type="dxa"/>
            <w:gridSpan w:val="6"/>
            <w:vAlign w:val="center"/>
          </w:tcPr>
          <w:p w:rsidR="00324B87" w:rsidRPr="00FF48AB" w:rsidRDefault="00324B87" w:rsidP="005104BF">
            <w:pPr>
              <w:jc w:val="center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  <w:b/>
                <w:bCs/>
                <w:iCs/>
              </w:rPr>
              <w:t>MAURITIUS</w:t>
            </w:r>
          </w:p>
        </w:tc>
        <w:tc>
          <w:tcPr>
            <w:tcW w:w="1559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 xml:space="preserve">East Africa </w:t>
            </w:r>
          </w:p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SADC, COMESA</w:t>
            </w:r>
          </w:p>
        </w:tc>
        <w:tc>
          <w:tcPr>
            <w:tcW w:w="1984" w:type="dxa"/>
            <w:vAlign w:val="center"/>
          </w:tcPr>
          <w:p w:rsidR="00324B87" w:rsidRPr="00FF48AB" w:rsidRDefault="00DB468F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A</w:t>
            </w:r>
            <w:r w:rsidR="00324B87" w:rsidRPr="00FF48AB">
              <w:rPr>
                <w:rFonts w:ascii="Arial" w:hAnsi="Arial" w:cs="Arial"/>
              </w:rPr>
              <w:t>rea</w:t>
            </w:r>
          </w:p>
          <w:p w:rsidR="00324B87" w:rsidRPr="00FF48AB" w:rsidRDefault="00DB468F" w:rsidP="00513B1B">
            <w:pPr>
              <w:jc w:val="both"/>
              <w:rPr>
                <w:rFonts w:ascii="Arial" w:hAnsi="Arial" w:cs="Arial"/>
                <w:b/>
                <w:bCs/>
              </w:rPr>
            </w:pPr>
            <w:r w:rsidRPr="00FF48AB">
              <w:rPr>
                <w:rFonts w:ascii="Arial" w:hAnsi="Arial" w:cs="Arial"/>
                <w:b/>
              </w:rPr>
              <w:t xml:space="preserve">2, </w:t>
            </w:r>
            <w:r w:rsidR="00324B87" w:rsidRPr="00FF48AB">
              <w:rPr>
                <w:rFonts w:ascii="Arial" w:hAnsi="Arial" w:cs="Arial"/>
                <w:b/>
              </w:rPr>
              <w:t>040</w:t>
            </w:r>
            <w:r w:rsidR="00324B87" w:rsidRPr="00FF48AB">
              <w:rPr>
                <w:rFonts w:ascii="Arial" w:hAnsi="Arial" w:cs="Arial"/>
              </w:rPr>
              <w:t xml:space="preserve"> km</w:t>
            </w:r>
            <w:r w:rsidR="00324B87" w:rsidRPr="00FF48AB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513B1B" w:rsidRPr="00FF48AB" w:rsidTr="00613BF1">
        <w:trPr>
          <w:trHeight w:val="608"/>
        </w:trPr>
        <w:tc>
          <w:tcPr>
            <w:tcW w:w="2457" w:type="dxa"/>
            <w:gridSpan w:val="3"/>
            <w:vMerge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14" w:type="dxa"/>
            <w:gridSpan w:val="6"/>
            <w:vAlign w:val="center"/>
          </w:tcPr>
          <w:p w:rsidR="00324B87" w:rsidRPr="00FF48AB" w:rsidRDefault="00C4345C" w:rsidP="005104BF">
            <w:pPr>
              <w:jc w:val="center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  <w:b/>
              </w:rPr>
              <w:t>Port Louis</w:t>
            </w:r>
          </w:p>
        </w:tc>
        <w:tc>
          <w:tcPr>
            <w:tcW w:w="1559" w:type="dxa"/>
            <w:vAlign w:val="center"/>
          </w:tcPr>
          <w:p w:rsidR="00324B87" w:rsidRPr="00FF48AB" w:rsidRDefault="007C3B8A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P</w:t>
            </w:r>
            <w:r w:rsidR="00324B87" w:rsidRPr="00FF48AB">
              <w:rPr>
                <w:rFonts w:ascii="Arial" w:hAnsi="Arial" w:cs="Arial"/>
              </w:rPr>
              <w:t>opulation</w:t>
            </w:r>
          </w:p>
          <w:p w:rsidR="00324B87" w:rsidRPr="00FF48AB" w:rsidRDefault="00DB468F" w:rsidP="00B741B8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  <w:b/>
              </w:rPr>
              <w:t>1,26</w:t>
            </w:r>
            <w:r w:rsidR="00B741B8" w:rsidRPr="00FF48AB">
              <w:rPr>
                <w:rFonts w:ascii="Arial" w:hAnsi="Arial" w:cs="Arial"/>
                <w:b/>
              </w:rPr>
              <w:t>2</w:t>
            </w:r>
            <w:r w:rsidRPr="00FF48AB">
              <w:rPr>
                <w:rFonts w:ascii="Arial" w:hAnsi="Arial" w:cs="Arial"/>
                <w:b/>
              </w:rPr>
              <w:t>,</w:t>
            </w:r>
            <w:r w:rsidR="00B741B8" w:rsidRPr="00FF48AB">
              <w:rPr>
                <w:rFonts w:ascii="Arial" w:hAnsi="Arial" w:cs="Arial"/>
                <w:b/>
              </w:rPr>
              <w:t xml:space="preserve">862 </w:t>
            </w:r>
            <w:r w:rsidR="00324B87" w:rsidRPr="00FF48AB">
              <w:rPr>
                <w:rFonts w:ascii="Arial" w:hAnsi="Arial" w:cs="Arial"/>
              </w:rPr>
              <w:t>inhabitants</w:t>
            </w:r>
          </w:p>
        </w:tc>
        <w:tc>
          <w:tcPr>
            <w:tcW w:w="1984" w:type="dxa"/>
            <w:vAlign w:val="center"/>
          </w:tcPr>
          <w:p w:rsidR="00324B87" w:rsidRPr="00FF48AB" w:rsidRDefault="00324B87" w:rsidP="008D30A8">
            <w:pPr>
              <w:jc w:val="center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 xml:space="preserve">Annual </w:t>
            </w:r>
            <w:r w:rsidR="008D30A8" w:rsidRPr="00FF48AB">
              <w:rPr>
                <w:rFonts w:ascii="Arial" w:hAnsi="Arial" w:cs="Arial"/>
              </w:rPr>
              <w:t xml:space="preserve">Education </w:t>
            </w:r>
            <w:r w:rsidRPr="00FF48AB">
              <w:rPr>
                <w:rFonts w:ascii="Arial" w:hAnsi="Arial" w:cs="Arial"/>
              </w:rPr>
              <w:t>Budget</w:t>
            </w:r>
          </w:p>
          <w:p w:rsidR="00324B87" w:rsidRPr="00FF48AB" w:rsidRDefault="00D3097D" w:rsidP="005725A2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4</w:t>
            </w:r>
            <w:r w:rsidR="005725A2" w:rsidRPr="00FF48AB">
              <w:rPr>
                <w:rFonts w:ascii="Arial" w:hAnsi="Arial" w:cs="Arial"/>
                <w:b/>
              </w:rPr>
              <w:t>55</w:t>
            </w:r>
            <w:r w:rsidR="00AE7D93" w:rsidRPr="00FF48AB">
              <w:rPr>
                <w:rFonts w:ascii="Arial" w:hAnsi="Arial" w:cs="Arial"/>
                <w:b/>
              </w:rPr>
              <w:t xml:space="preserve">, </w:t>
            </w:r>
            <w:r w:rsidR="005725A2" w:rsidRPr="00FF48AB">
              <w:rPr>
                <w:rFonts w:ascii="Arial" w:hAnsi="Arial" w:cs="Arial"/>
                <w:b/>
              </w:rPr>
              <w:t>064</w:t>
            </w:r>
            <w:r w:rsidR="00AE7D93" w:rsidRPr="00FF48AB">
              <w:rPr>
                <w:rFonts w:ascii="Arial" w:hAnsi="Arial" w:cs="Arial"/>
                <w:b/>
              </w:rPr>
              <w:t xml:space="preserve">, </w:t>
            </w:r>
            <w:r w:rsidR="005725A2" w:rsidRPr="00FF48AB">
              <w:rPr>
                <w:rFonts w:ascii="Arial" w:hAnsi="Arial" w:cs="Arial"/>
                <w:b/>
              </w:rPr>
              <w:t>751</w:t>
            </w:r>
            <w:r w:rsidR="00AE7D93" w:rsidRPr="00FF48AB">
              <w:rPr>
                <w:rFonts w:ascii="Arial" w:hAnsi="Arial" w:cs="Arial"/>
                <w:b/>
              </w:rPr>
              <w:t xml:space="preserve"> </w:t>
            </w:r>
            <w:r w:rsidR="008D30A8" w:rsidRPr="00FF48AB">
              <w:rPr>
                <w:rFonts w:ascii="Arial" w:hAnsi="Arial" w:cs="Arial"/>
                <w:b/>
              </w:rPr>
              <w:t>US</w:t>
            </w:r>
            <w:r w:rsidR="00C355CB" w:rsidRPr="00FF48AB">
              <w:rPr>
                <w:rFonts w:ascii="Arial" w:hAnsi="Arial" w:cs="Arial"/>
                <w:b/>
              </w:rPr>
              <w:t>$</w:t>
            </w:r>
          </w:p>
        </w:tc>
      </w:tr>
      <w:tr w:rsidR="00513B1B" w:rsidRPr="00FF48AB" w:rsidTr="00613BF1">
        <w:trPr>
          <w:gridAfter w:val="2"/>
          <w:wAfter w:w="3543" w:type="dxa"/>
          <w:trHeight w:val="253"/>
        </w:trPr>
        <w:tc>
          <w:tcPr>
            <w:tcW w:w="67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04BF" w:rsidRPr="00FF48AB" w:rsidRDefault="005104BF" w:rsidP="00513B1B">
            <w:pPr>
              <w:jc w:val="both"/>
              <w:rPr>
                <w:rFonts w:ascii="Arial" w:hAnsi="Arial" w:cs="Arial"/>
                <w:b/>
              </w:rPr>
            </w:pPr>
          </w:p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General Information</w:t>
            </w:r>
          </w:p>
        </w:tc>
      </w:tr>
      <w:tr w:rsidR="00513B1B" w:rsidRPr="00FF48AB" w:rsidTr="00613BF1">
        <w:trPr>
          <w:gridAfter w:val="2"/>
          <w:wAfter w:w="3543" w:type="dxa"/>
          <w:trHeight w:val="545"/>
        </w:trPr>
        <w:tc>
          <w:tcPr>
            <w:tcW w:w="3936" w:type="dxa"/>
            <w:gridSpan w:val="6"/>
            <w:tcBorders>
              <w:top w:val="single" w:sz="4" w:space="0" w:color="auto"/>
            </w:tcBorders>
            <w:vAlign w:val="center"/>
          </w:tcPr>
          <w:p w:rsidR="00324B87" w:rsidRPr="00FF48AB" w:rsidRDefault="00324B87" w:rsidP="005104BF">
            <w:pPr>
              <w:pStyle w:val="Heading1"/>
              <w:jc w:val="center"/>
              <w:outlineLvl w:val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F48AB">
              <w:rPr>
                <w:rFonts w:ascii="Arial" w:eastAsia="Times New Roman" w:hAnsi="Arial" w:cs="Arial"/>
                <w:b/>
                <w:color w:val="auto"/>
                <w:sz w:val="22"/>
                <w:szCs w:val="22"/>
              </w:rPr>
              <w:t>Population %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324B87" w:rsidRPr="00FF48AB" w:rsidRDefault="00324B87" w:rsidP="005104BF">
            <w:pPr>
              <w:pStyle w:val="Heading1"/>
              <w:jc w:val="center"/>
              <w:outlineLvl w:val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</w:tcBorders>
            <w:vAlign w:val="center"/>
          </w:tcPr>
          <w:p w:rsidR="00324B87" w:rsidRPr="00FF48AB" w:rsidRDefault="00324B87" w:rsidP="005104BF">
            <w:pPr>
              <w:pStyle w:val="Heading1"/>
              <w:jc w:val="center"/>
              <w:outlineLvl w:val="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FF48AB">
              <w:rPr>
                <w:rFonts w:ascii="Arial" w:hAnsi="Arial" w:cs="Arial"/>
                <w:b/>
                <w:color w:val="auto"/>
                <w:sz w:val="22"/>
                <w:szCs w:val="22"/>
              </w:rPr>
              <w:t>Budget</w:t>
            </w:r>
          </w:p>
        </w:tc>
      </w:tr>
      <w:tr w:rsidR="00513B1B" w:rsidRPr="00FF48AB" w:rsidTr="00613BF1">
        <w:trPr>
          <w:gridAfter w:val="2"/>
          <w:wAfter w:w="3543" w:type="dxa"/>
          <w:trHeight w:val="506"/>
        </w:trPr>
        <w:tc>
          <w:tcPr>
            <w:tcW w:w="895" w:type="dxa"/>
            <w:vMerge w:val="restart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eastAsia="Times New Roman" w:hAnsi="Arial" w:cs="Arial"/>
                <w:b/>
              </w:rPr>
              <w:t>Age</w:t>
            </w:r>
          </w:p>
        </w:tc>
        <w:tc>
          <w:tcPr>
            <w:tcW w:w="1623" w:type="dxa"/>
            <w:gridSpan w:val="3"/>
            <w:tcBorders>
              <w:right w:val="single" w:sz="18" w:space="0" w:color="auto"/>
            </w:tcBorders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eastAsia="Times New Roman" w:hAnsi="Arial" w:cs="Arial"/>
                <w:b/>
              </w:rPr>
              <w:t xml:space="preserve">General Distribution </w:t>
            </w:r>
          </w:p>
        </w:tc>
        <w:tc>
          <w:tcPr>
            <w:tcW w:w="1418" w:type="dxa"/>
            <w:gridSpan w:val="2"/>
            <w:tcBorders>
              <w:left w:val="single" w:sz="18" w:space="0" w:color="auto"/>
            </w:tcBorders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eastAsia="Times New Roman" w:hAnsi="Arial" w:cs="Arial"/>
                <w:b/>
              </w:rPr>
              <w:t>Enrolled by cycle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653" w:type="dxa"/>
            <w:vMerge w:val="restart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eastAsia="Times New Roman" w:hAnsi="Arial" w:cs="Arial"/>
                <w:b/>
              </w:rPr>
              <w:t xml:space="preserve">School Cycle </w:t>
            </w:r>
          </w:p>
        </w:tc>
        <w:tc>
          <w:tcPr>
            <w:tcW w:w="946" w:type="dxa"/>
            <w:vMerge w:val="restart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eastAsia="Times New Roman" w:hAnsi="Arial" w:cs="Arial"/>
                <w:b/>
              </w:rPr>
              <w:t>%</w:t>
            </w:r>
          </w:p>
        </w:tc>
      </w:tr>
      <w:tr w:rsidR="00513B1B" w:rsidRPr="00FF48AB" w:rsidTr="00F07FD5">
        <w:trPr>
          <w:gridAfter w:val="2"/>
          <w:wAfter w:w="3543" w:type="dxa"/>
          <w:trHeight w:val="267"/>
        </w:trPr>
        <w:tc>
          <w:tcPr>
            <w:tcW w:w="895" w:type="dxa"/>
            <w:vMerge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73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850" w:type="dxa"/>
            <w:gridSpan w:val="2"/>
            <w:tcBorders>
              <w:right w:val="single" w:sz="18" w:space="0" w:color="auto"/>
            </w:tcBorders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709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  <w:b/>
              </w:rPr>
            </w:pPr>
            <w:r w:rsidRPr="00FF48AB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46" w:type="dxa"/>
            <w:vMerge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hAnsi="Arial" w:cs="Arial"/>
              </w:rPr>
            </w:pPr>
          </w:p>
        </w:tc>
      </w:tr>
      <w:tr w:rsidR="00513B1B" w:rsidRPr="00FF48AB" w:rsidTr="00893AF4">
        <w:trPr>
          <w:gridAfter w:val="2"/>
          <w:wAfter w:w="3543" w:type="dxa"/>
          <w:trHeight w:val="290"/>
        </w:trPr>
        <w:tc>
          <w:tcPr>
            <w:tcW w:w="895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0 - 3</w:t>
            </w:r>
          </w:p>
        </w:tc>
        <w:tc>
          <w:tcPr>
            <w:tcW w:w="773" w:type="dxa"/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51</w:t>
            </w:r>
          </w:p>
        </w:tc>
        <w:tc>
          <w:tcPr>
            <w:tcW w:w="850" w:type="dxa"/>
            <w:gridSpan w:val="2"/>
            <w:tcBorders>
              <w:right w:val="single" w:sz="18" w:space="0" w:color="auto"/>
            </w:tcBorders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49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:rsidR="00324B87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51</w:t>
            </w:r>
          </w:p>
        </w:tc>
        <w:tc>
          <w:tcPr>
            <w:tcW w:w="709" w:type="dxa"/>
            <w:vAlign w:val="center"/>
          </w:tcPr>
          <w:p w:rsidR="00324B87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49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324B87" w:rsidRPr="00FF48AB" w:rsidRDefault="00535C8F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Pre-primary</w:t>
            </w:r>
          </w:p>
        </w:tc>
        <w:tc>
          <w:tcPr>
            <w:tcW w:w="946" w:type="dxa"/>
            <w:vAlign w:val="center"/>
          </w:tcPr>
          <w:p w:rsidR="00324B87" w:rsidRPr="00FF48AB" w:rsidRDefault="00E16245" w:rsidP="005725A2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1.</w:t>
            </w:r>
            <w:r w:rsidR="005725A2" w:rsidRPr="00FF48AB">
              <w:rPr>
                <w:rFonts w:ascii="Arial" w:hAnsi="Arial" w:cs="Arial"/>
              </w:rPr>
              <w:t>6</w:t>
            </w:r>
          </w:p>
        </w:tc>
      </w:tr>
      <w:tr w:rsidR="00513B1B" w:rsidRPr="00FF48AB" w:rsidTr="00F07FD5">
        <w:trPr>
          <w:gridAfter w:val="2"/>
          <w:wAfter w:w="3543" w:type="dxa"/>
          <w:trHeight w:val="253"/>
        </w:trPr>
        <w:tc>
          <w:tcPr>
            <w:tcW w:w="895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3 - 6</w:t>
            </w:r>
          </w:p>
        </w:tc>
        <w:tc>
          <w:tcPr>
            <w:tcW w:w="773" w:type="dxa"/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850" w:type="dxa"/>
            <w:gridSpan w:val="2"/>
            <w:tcBorders>
              <w:right w:val="single" w:sz="18" w:space="0" w:color="auto"/>
            </w:tcBorders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Primary</w:t>
            </w:r>
          </w:p>
        </w:tc>
        <w:tc>
          <w:tcPr>
            <w:tcW w:w="946" w:type="dxa"/>
            <w:vAlign w:val="center"/>
          </w:tcPr>
          <w:p w:rsidR="00324B87" w:rsidRPr="00FF48AB" w:rsidRDefault="00E16245" w:rsidP="005725A2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27.</w:t>
            </w:r>
            <w:r w:rsidR="005725A2" w:rsidRPr="00FF48AB">
              <w:rPr>
                <w:rFonts w:ascii="Arial" w:hAnsi="Arial" w:cs="Arial"/>
              </w:rPr>
              <w:t>6</w:t>
            </w:r>
          </w:p>
        </w:tc>
      </w:tr>
      <w:tr w:rsidR="00513B1B" w:rsidRPr="00FF48AB" w:rsidTr="00F07FD5">
        <w:trPr>
          <w:gridAfter w:val="2"/>
          <w:wAfter w:w="3543" w:type="dxa"/>
          <w:trHeight w:val="253"/>
        </w:trPr>
        <w:tc>
          <w:tcPr>
            <w:tcW w:w="895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6 - 12</w:t>
            </w:r>
          </w:p>
        </w:tc>
        <w:tc>
          <w:tcPr>
            <w:tcW w:w="773" w:type="dxa"/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51</w:t>
            </w:r>
          </w:p>
        </w:tc>
        <w:tc>
          <w:tcPr>
            <w:tcW w:w="850" w:type="dxa"/>
            <w:gridSpan w:val="2"/>
            <w:tcBorders>
              <w:right w:val="single" w:sz="18" w:space="0" w:color="auto"/>
            </w:tcBorders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49</w:t>
            </w:r>
          </w:p>
        </w:tc>
        <w:tc>
          <w:tcPr>
            <w:tcW w:w="709" w:type="dxa"/>
            <w:tcBorders>
              <w:left w:val="single" w:sz="18" w:space="0" w:color="auto"/>
            </w:tcBorders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51</w:t>
            </w:r>
          </w:p>
        </w:tc>
        <w:tc>
          <w:tcPr>
            <w:tcW w:w="709" w:type="dxa"/>
            <w:vAlign w:val="center"/>
          </w:tcPr>
          <w:p w:rsidR="00324B87" w:rsidRPr="00FF48AB" w:rsidRDefault="00E16245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49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324B87" w:rsidRPr="00FF48AB" w:rsidRDefault="00324B87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Secondary</w:t>
            </w:r>
          </w:p>
        </w:tc>
        <w:tc>
          <w:tcPr>
            <w:tcW w:w="946" w:type="dxa"/>
            <w:vAlign w:val="center"/>
          </w:tcPr>
          <w:p w:rsidR="00324B87" w:rsidRPr="00FF48AB" w:rsidRDefault="005725A2" w:rsidP="005725A2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53.9</w:t>
            </w:r>
          </w:p>
        </w:tc>
      </w:tr>
      <w:tr w:rsidR="00513B1B" w:rsidRPr="00FF48AB" w:rsidTr="00F07FD5">
        <w:trPr>
          <w:gridAfter w:val="2"/>
          <w:wAfter w:w="3543" w:type="dxa"/>
          <w:trHeight w:val="33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016D90" w:rsidRPr="00FF48AB" w:rsidRDefault="00F07FD5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12</w:t>
            </w:r>
            <w:r w:rsidR="00893AF4" w:rsidRPr="00FF48AB">
              <w:rPr>
                <w:rFonts w:ascii="Arial" w:eastAsia="Times New Roman" w:hAnsi="Arial" w:cs="Arial"/>
              </w:rPr>
              <w:t xml:space="preserve"> </w:t>
            </w:r>
            <w:r w:rsidRPr="00FF48AB">
              <w:rPr>
                <w:rFonts w:ascii="Arial" w:eastAsia="Times New Roman" w:hAnsi="Arial" w:cs="Arial"/>
              </w:rPr>
              <w:t>-</w:t>
            </w:r>
            <w:r w:rsidR="00016D90" w:rsidRPr="00FF48AB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016D90" w:rsidRPr="00FF48AB" w:rsidRDefault="00016D90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51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016D90" w:rsidRPr="00FF48AB" w:rsidRDefault="00016D90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49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16D90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016D90" w:rsidRPr="00FF48AB" w:rsidRDefault="00016D90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016D90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 xml:space="preserve">Higher </w:t>
            </w:r>
          </w:p>
        </w:tc>
        <w:tc>
          <w:tcPr>
            <w:tcW w:w="946" w:type="dxa"/>
            <w:vAlign w:val="center"/>
          </w:tcPr>
          <w:p w:rsidR="00016D90" w:rsidRPr="00FF48AB" w:rsidRDefault="005725A2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7</w:t>
            </w:r>
            <w:r w:rsidR="00016D90" w:rsidRPr="00FF48AB">
              <w:rPr>
                <w:rFonts w:ascii="Arial" w:hAnsi="Arial" w:cs="Arial"/>
              </w:rPr>
              <w:t>.2</w:t>
            </w:r>
          </w:p>
        </w:tc>
      </w:tr>
      <w:tr w:rsidR="00893AF4" w:rsidRPr="00FF48AB" w:rsidTr="00893AF4">
        <w:trPr>
          <w:gridAfter w:val="2"/>
          <w:wAfter w:w="3543" w:type="dxa"/>
          <w:trHeight w:val="20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18 - 25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48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TVET</w:t>
            </w:r>
          </w:p>
        </w:tc>
        <w:tc>
          <w:tcPr>
            <w:tcW w:w="946" w:type="dxa"/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3.2</w:t>
            </w:r>
          </w:p>
        </w:tc>
      </w:tr>
      <w:tr w:rsidR="00893AF4" w:rsidRPr="00FF48AB" w:rsidTr="00F07FD5">
        <w:trPr>
          <w:gridAfter w:val="2"/>
          <w:wAfter w:w="3543" w:type="dxa"/>
          <w:trHeight w:val="33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25 - 35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50</w:t>
            </w:r>
          </w:p>
        </w:tc>
        <w:tc>
          <w:tcPr>
            <w:tcW w:w="70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n.a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n.a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653" w:type="dxa"/>
            <w:vAlign w:val="center"/>
          </w:tcPr>
          <w:p w:rsidR="00893AF4" w:rsidRPr="00FF48AB" w:rsidRDefault="00893AF4" w:rsidP="00513B1B">
            <w:pPr>
              <w:jc w:val="both"/>
              <w:rPr>
                <w:rFonts w:ascii="Arial" w:eastAsia="Times New Roman" w:hAnsi="Arial" w:cs="Arial"/>
              </w:rPr>
            </w:pPr>
            <w:r w:rsidRPr="00FF48AB">
              <w:rPr>
                <w:rFonts w:ascii="Arial" w:eastAsia="Times New Roman" w:hAnsi="Arial" w:cs="Arial"/>
              </w:rPr>
              <w:t>STI</w:t>
            </w:r>
          </w:p>
        </w:tc>
        <w:tc>
          <w:tcPr>
            <w:tcW w:w="946" w:type="dxa"/>
            <w:vAlign w:val="center"/>
          </w:tcPr>
          <w:p w:rsidR="00893AF4" w:rsidRPr="00FF48AB" w:rsidRDefault="00B741B8" w:rsidP="00513B1B">
            <w:pPr>
              <w:jc w:val="both"/>
              <w:rPr>
                <w:rFonts w:ascii="Arial" w:hAnsi="Arial" w:cs="Arial"/>
              </w:rPr>
            </w:pPr>
            <w:r w:rsidRPr="00FF48AB">
              <w:rPr>
                <w:rFonts w:ascii="Arial" w:hAnsi="Arial" w:cs="Arial"/>
              </w:rPr>
              <w:t>n.a</w:t>
            </w:r>
          </w:p>
        </w:tc>
      </w:tr>
    </w:tbl>
    <w:p w:rsidR="00893AF4" w:rsidRPr="00FF48AB" w:rsidRDefault="00B741B8" w:rsidP="00513B1B">
      <w:pPr>
        <w:jc w:val="both"/>
        <w:rPr>
          <w:rFonts w:ascii="Arial" w:hAnsi="Arial" w:cs="Arial"/>
          <w:i/>
        </w:rPr>
      </w:pPr>
      <w:r w:rsidRPr="00FF48AB">
        <w:rPr>
          <w:rFonts w:ascii="Arial" w:hAnsi="Arial" w:cs="Arial"/>
          <w:i/>
        </w:rPr>
        <w:t>n.a: not available</w:t>
      </w:r>
    </w:p>
    <w:p w:rsidR="00B741B8" w:rsidRPr="00FF48AB" w:rsidRDefault="00B741B8" w:rsidP="00513B1B">
      <w:pPr>
        <w:jc w:val="both"/>
        <w:rPr>
          <w:rFonts w:ascii="Arial" w:hAnsi="Arial" w:cs="Arial"/>
          <w:i/>
        </w:rPr>
      </w:pPr>
    </w:p>
    <w:p w:rsidR="00F26BA1" w:rsidRPr="00FF48AB" w:rsidRDefault="00016D90" w:rsidP="00F26BA1">
      <w:pPr>
        <w:jc w:val="both"/>
        <w:rPr>
          <w:rFonts w:ascii="Arial" w:hAnsi="Arial" w:cs="Arial"/>
          <w:i/>
          <w:u w:val="single"/>
          <w:lang w:val="en-GB"/>
        </w:rPr>
      </w:pPr>
      <w:r w:rsidRPr="00FF48AB">
        <w:rPr>
          <w:rFonts w:ascii="Arial" w:hAnsi="Arial" w:cs="Arial"/>
          <w:i/>
          <w:u w:val="single"/>
          <w:lang w:val="en-GB"/>
        </w:rPr>
        <w:t xml:space="preserve">Source: </w:t>
      </w:r>
    </w:p>
    <w:p w:rsidR="00F26BA1" w:rsidRPr="00FF48AB" w:rsidRDefault="00B741B8" w:rsidP="00F26BA1">
      <w:pPr>
        <w:jc w:val="both"/>
        <w:rPr>
          <w:rFonts w:ascii="Arial" w:hAnsi="Arial" w:cs="Arial"/>
          <w:i/>
          <w:lang w:val="en-GB"/>
        </w:rPr>
      </w:pPr>
      <w:r w:rsidRPr="00FF48AB">
        <w:rPr>
          <w:rFonts w:ascii="Arial" w:hAnsi="Arial" w:cs="Arial"/>
          <w:i/>
          <w:lang w:val="en-GB"/>
        </w:rPr>
        <w:t>Population f</w:t>
      </w:r>
      <w:r w:rsidR="00016D90" w:rsidRPr="00FF48AB">
        <w:rPr>
          <w:rFonts w:ascii="Arial" w:hAnsi="Arial" w:cs="Arial"/>
          <w:i/>
          <w:lang w:val="en-GB"/>
        </w:rPr>
        <w:t>igures (201</w:t>
      </w:r>
      <w:r w:rsidRPr="00FF48AB">
        <w:rPr>
          <w:rFonts w:ascii="Arial" w:hAnsi="Arial" w:cs="Arial"/>
          <w:i/>
          <w:lang w:val="en-GB"/>
        </w:rPr>
        <w:t>5</w:t>
      </w:r>
      <w:r w:rsidR="005A10EC" w:rsidRPr="00FF48AB">
        <w:rPr>
          <w:rFonts w:ascii="Arial" w:hAnsi="Arial" w:cs="Arial"/>
          <w:i/>
          <w:lang w:val="en-GB"/>
        </w:rPr>
        <w:t>) -</w:t>
      </w:r>
      <w:r w:rsidR="00016D90" w:rsidRPr="00FF48AB">
        <w:rPr>
          <w:rFonts w:ascii="Arial" w:hAnsi="Arial" w:cs="Arial"/>
          <w:i/>
          <w:lang w:val="en-GB"/>
        </w:rPr>
        <w:t xml:space="preserve"> Statistics </w:t>
      </w:r>
      <w:r w:rsidR="00F26BA1" w:rsidRPr="00FF48AB">
        <w:rPr>
          <w:rFonts w:ascii="Arial" w:hAnsi="Arial" w:cs="Arial"/>
          <w:i/>
          <w:lang w:val="en-GB"/>
        </w:rPr>
        <w:t>Unit, Ministry of Education and Human Resources, Tertiary Education and Scientific Research</w:t>
      </w:r>
    </w:p>
    <w:p w:rsidR="00B741B8" w:rsidRPr="00FF48AB" w:rsidRDefault="00B741B8" w:rsidP="00F26BA1">
      <w:pPr>
        <w:jc w:val="both"/>
        <w:rPr>
          <w:rFonts w:ascii="Arial" w:hAnsi="Arial" w:cs="Arial"/>
          <w:i/>
          <w:lang w:val="en-GB"/>
        </w:rPr>
      </w:pPr>
      <w:r w:rsidRPr="00FF48AB">
        <w:rPr>
          <w:rFonts w:ascii="Arial" w:hAnsi="Arial" w:cs="Arial"/>
          <w:i/>
          <w:lang w:val="en-GB"/>
        </w:rPr>
        <w:t>Budget figures (2015</w:t>
      </w:r>
      <w:r w:rsidR="005A10EC" w:rsidRPr="00FF48AB">
        <w:rPr>
          <w:rFonts w:ascii="Arial" w:hAnsi="Arial" w:cs="Arial"/>
          <w:i/>
          <w:lang w:val="en-GB"/>
        </w:rPr>
        <w:t>) -</w:t>
      </w:r>
      <w:r w:rsidRPr="00FF48AB">
        <w:rPr>
          <w:rFonts w:ascii="Arial" w:hAnsi="Arial" w:cs="Arial"/>
          <w:i/>
          <w:lang w:val="en-GB"/>
        </w:rPr>
        <w:t xml:space="preserve"> Finance Section, Ministry of Education and Human Resources, Tertiary Education and Scientific Research</w:t>
      </w:r>
    </w:p>
    <w:p w:rsidR="00C72418" w:rsidRPr="00FF48AB" w:rsidRDefault="00C72418" w:rsidP="00513B1B">
      <w:pPr>
        <w:jc w:val="both"/>
        <w:rPr>
          <w:rFonts w:ascii="Arial" w:hAnsi="Arial" w:cs="Arial"/>
          <w:lang w:val="en-GB"/>
        </w:rPr>
      </w:pPr>
    </w:p>
    <w:p w:rsidR="000D32F3" w:rsidRPr="004F31AF" w:rsidRDefault="0072230C" w:rsidP="00513B1B">
      <w:pPr>
        <w:jc w:val="both"/>
        <w:rPr>
          <w:rFonts w:ascii="Arial" w:hAnsi="Arial" w:cs="Arial"/>
          <w:lang w:val="en-GB"/>
        </w:rPr>
      </w:pPr>
      <w:r w:rsidRPr="00FF48AB">
        <w:rPr>
          <w:rFonts w:ascii="Arial" w:hAnsi="Arial" w:cs="Arial"/>
        </w:rPr>
        <w:t xml:space="preserve">The Ministry of Education, Human Resources, Tertiary Education and Scientific Research </w:t>
      </w:r>
      <w:r w:rsidR="00BE277D" w:rsidRPr="00FF48AB">
        <w:rPr>
          <w:rFonts w:ascii="Arial" w:hAnsi="Arial" w:cs="Arial"/>
        </w:rPr>
        <w:t>has overall responsibility for policies governing</w:t>
      </w:r>
      <w:r w:rsidRPr="00FF48AB">
        <w:rPr>
          <w:rFonts w:ascii="Arial" w:hAnsi="Arial" w:cs="Arial"/>
          <w:shd w:val="clear" w:color="auto" w:fill="FFFFFF"/>
        </w:rPr>
        <w:t xml:space="preserve"> the development and administration of</w:t>
      </w:r>
      <w:r w:rsidR="00BE277D" w:rsidRPr="00FF48AB">
        <w:rPr>
          <w:rFonts w:ascii="Arial" w:hAnsi="Arial" w:cs="Arial"/>
          <w:shd w:val="clear" w:color="auto" w:fill="FFFFFF"/>
        </w:rPr>
        <w:t xml:space="preserve"> education in the Republic of Mauritius</w:t>
      </w:r>
      <w:r w:rsidR="005104BF" w:rsidRPr="00FF48AB">
        <w:rPr>
          <w:rFonts w:ascii="Arial" w:hAnsi="Arial" w:cs="Arial"/>
          <w:shd w:val="clear" w:color="auto" w:fill="FFFFFF"/>
        </w:rPr>
        <w:t>.</w:t>
      </w:r>
      <w:r w:rsidR="00BE277D" w:rsidRPr="00FF48AB">
        <w:rPr>
          <w:rFonts w:ascii="Arial" w:hAnsi="Arial" w:cs="Arial"/>
          <w:shd w:val="clear" w:color="auto" w:fill="FFFFFF"/>
        </w:rPr>
        <w:t xml:space="preserve"> While it assumes responsibility for the dispensing of education in the publicly-funded state schools, it has an advisory and supervisory role in respect of private schools</w:t>
      </w:r>
      <w:r w:rsidR="005104BF" w:rsidRPr="00FF48AB">
        <w:rPr>
          <w:rFonts w:ascii="Arial" w:hAnsi="Arial" w:cs="Arial"/>
          <w:shd w:val="clear" w:color="auto" w:fill="FFFFFF"/>
        </w:rPr>
        <w:t xml:space="preserve"> </w:t>
      </w:r>
      <w:r w:rsidR="006B0912" w:rsidRPr="00FF48AB">
        <w:rPr>
          <w:rFonts w:ascii="Arial" w:hAnsi="Arial" w:cs="Arial"/>
          <w:shd w:val="clear" w:color="auto" w:fill="FFFFFF"/>
        </w:rPr>
        <w:t>(both</w:t>
      </w:r>
      <w:r w:rsidR="00924B1D" w:rsidRPr="00FF48AB">
        <w:rPr>
          <w:rFonts w:ascii="Arial" w:hAnsi="Arial" w:cs="Arial"/>
          <w:shd w:val="clear" w:color="auto" w:fill="FFFFFF"/>
        </w:rPr>
        <w:t xml:space="preserve"> fee</w:t>
      </w:r>
      <w:r w:rsidR="00D03D9E" w:rsidRPr="00FF48AB">
        <w:rPr>
          <w:rFonts w:ascii="Arial" w:hAnsi="Arial" w:cs="Arial"/>
          <w:shd w:val="clear" w:color="auto" w:fill="FFFFFF"/>
        </w:rPr>
        <w:t>-paying</w:t>
      </w:r>
      <w:r w:rsidR="00924B1D" w:rsidRPr="00FF48AB">
        <w:rPr>
          <w:rFonts w:ascii="Arial" w:hAnsi="Arial" w:cs="Arial"/>
          <w:shd w:val="clear" w:color="auto" w:fill="FFFFFF"/>
        </w:rPr>
        <w:t xml:space="preserve"> and grant-aided</w:t>
      </w:r>
      <w:r w:rsidR="006B0912" w:rsidRPr="00FF48AB">
        <w:rPr>
          <w:rFonts w:ascii="Arial" w:hAnsi="Arial" w:cs="Arial"/>
          <w:shd w:val="clear" w:color="auto" w:fill="FFFFFF"/>
        </w:rPr>
        <w:t>) across</w:t>
      </w:r>
      <w:r w:rsidR="00BE277D" w:rsidRPr="00FF48AB">
        <w:rPr>
          <w:rFonts w:ascii="Arial" w:hAnsi="Arial" w:cs="Arial"/>
          <w:shd w:val="clear" w:color="auto" w:fill="FFFFFF"/>
        </w:rPr>
        <w:t xml:space="preserve"> the sub-sectors. Education </w:t>
      </w:r>
      <w:r w:rsidR="00D03D9E" w:rsidRPr="00FF48AB">
        <w:rPr>
          <w:rFonts w:ascii="Arial" w:hAnsi="Arial" w:cs="Arial"/>
          <w:shd w:val="clear" w:color="auto" w:fill="FFFFFF"/>
        </w:rPr>
        <w:t xml:space="preserve">is compulsory up to age 16 and </w:t>
      </w:r>
      <w:r w:rsidR="00BE277D" w:rsidRPr="00FF48AB">
        <w:rPr>
          <w:rFonts w:ascii="Arial" w:hAnsi="Arial" w:cs="Arial"/>
          <w:shd w:val="clear" w:color="auto" w:fill="FFFFFF"/>
        </w:rPr>
        <w:t>is free</w:t>
      </w:r>
      <w:bookmarkStart w:id="0" w:name="_GoBack"/>
      <w:bookmarkEnd w:id="0"/>
      <w:r w:rsidR="00BE277D" w:rsidRPr="00FF48AB">
        <w:rPr>
          <w:rFonts w:ascii="Arial" w:hAnsi="Arial" w:cs="Arial"/>
          <w:shd w:val="clear" w:color="auto" w:fill="FFFFFF"/>
        </w:rPr>
        <w:t xml:space="preserve"> </w:t>
      </w:r>
      <w:r w:rsidR="00833827" w:rsidRPr="00FF48AB">
        <w:rPr>
          <w:rFonts w:ascii="Arial" w:hAnsi="Arial" w:cs="Arial"/>
          <w:shd w:val="clear" w:color="auto" w:fill="FFFFFF"/>
        </w:rPr>
        <w:t xml:space="preserve">in public and grant-aided schools. </w:t>
      </w:r>
      <w:r w:rsidR="00BD2960" w:rsidRPr="00FF48AB">
        <w:rPr>
          <w:rFonts w:ascii="Arial" w:hAnsi="Arial" w:cs="Arial"/>
          <w:shd w:val="clear" w:color="auto" w:fill="FFFFFF"/>
        </w:rPr>
        <w:t>It</w:t>
      </w:r>
      <w:r w:rsidR="007C3B8A" w:rsidRPr="00FF48AB">
        <w:rPr>
          <w:rFonts w:ascii="Arial" w:hAnsi="Arial" w:cs="Arial"/>
          <w:shd w:val="clear" w:color="auto" w:fill="FFFFFF"/>
        </w:rPr>
        <w:t xml:space="preserve"> is</w:t>
      </w:r>
      <w:r w:rsidR="00AD094B" w:rsidRPr="00FF48AB">
        <w:rPr>
          <w:rFonts w:ascii="Arial" w:hAnsi="Arial" w:cs="Arial"/>
          <w:shd w:val="clear" w:color="auto" w:fill="FFFFFF"/>
        </w:rPr>
        <w:t xml:space="preserve"> subsidized at</w:t>
      </w:r>
      <w:r w:rsidR="00BE277D" w:rsidRPr="00FF48AB">
        <w:rPr>
          <w:rFonts w:ascii="Arial" w:hAnsi="Arial" w:cs="Arial"/>
          <w:shd w:val="clear" w:color="auto" w:fill="FFFFFF"/>
        </w:rPr>
        <w:t xml:space="preserve"> f</w:t>
      </w:r>
      <w:r w:rsidR="00513B1B" w:rsidRPr="00FF48AB">
        <w:rPr>
          <w:rFonts w:ascii="Arial" w:hAnsi="Arial" w:cs="Arial"/>
          <w:shd w:val="clear" w:color="auto" w:fill="FFFFFF"/>
        </w:rPr>
        <w:t>ull</w:t>
      </w:r>
      <w:r w:rsidR="005104BF" w:rsidRPr="00FF48AB">
        <w:rPr>
          <w:rFonts w:ascii="Arial" w:hAnsi="Arial" w:cs="Arial"/>
          <w:shd w:val="clear" w:color="auto" w:fill="FFFFFF"/>
        </w:rPr>
        <w:t>-</w:t>
      </w:r>
      <w:r w:rsidR="00513B1B" w:rsidRPr="00FF48AB">
        <w:rPr>
          <w:rFonts w:ascii="Arial" w:hAnsi="Arial" w:cs="Arial"/>
          <w:shd w:val="clear" w:color="auto" w:fill="FFFFFF"/>
        </w:rPr>
        <w:t>time undergrad</w:t>
      </w:r>
      <w:r w:rsidR="005104BF" w:rsidRPr="00FF48AB">
        <w:rPr>
          <w:rFonts w:ascii="Arial" w:hAnsi="Arial" w:cs="Arial"/>
          <w:shd w:val="clear" w:color="auto" w:fill="FFFFFF"/>
        </w:rPr>
        <w:t>uate</w:t>
      </w:r>
      <w:r w:rsidR="007C3B8A" w:rsidRPr="00FF48AB">
        <w:rPr>
          <w:rFonts w:ascii="Arial" w:hAnsi="Arial" w:cs="Arial"/>
          <w:shd w:val="clear" w:color="auto" w:fill="FFFFFF"/>
        </w:rPr>
        <w:t xml:space="preserve"> level </w:t>
      </w:r>
      <w:r w:rsidR="005003FB" w:rsidRPr="00FF48AB">
        <w:rPr>
          <w:rFonts w:ascii="Arial" w:hAnsi="Arial" w:cs="Arial"/>
          <w:shd w:val="clear" w:color="auto" w:fill="FFFFFF"/>
        </w:rPr>
        <w:t>in</w:t>
      </w:r>
      <w:r w:rsidR="007C3B8A" w:rsidRPr="00FF48AB">
        <w:rPr>
          <w:rFonts w:ascii="Arial" w:hAnsi="Arial" w:cs="Arial"/>
          <w:shd w:val="clear" w:color="auto" w:fill="FFFFFF"/>
        </w:rPr>
        <w:t xml:space="preserve"> publicly funded tertiary education institutions</w:t>
      </w:r>
      <w:r w:rsidR="00BE277D" w:rsidRPr="00FF48AB">
        <w:rPr>
          <w:rFonts w:ascii="Arial" w:hAnsi="Arial" w:cs="Arial"/>
          <w:shd w:val="clear" w:color="auto" w:fill="FFFFFF"/>
        </w:rPr>
        <w:t xml:space="preserve">. </w:t>
      </w:r>
      <w:r w:rsidR="00AD094B" w:rsidRPr="00FF48AB">
        <w:rPr>
          <w:rFonts w:ascii="Arial" w:hAnsi="Arial" w:cs="Arial"/>
          <w:shd w:val="clear" w:color="auto" w:fill="FFFFFF"/>
        </w:rPr>
        <w:t xml:space="preserve">The Ministry </w:t>
      </w:r>
      <w:r w:rsidR="00BD2960" w:rsidRPr="00FF48AB">
        <w:rPr>
          <w:rFonts w:ascii="Arial" w:hAnsi="Arial" w:cs="Arial"/>
          <w:shd w:val="clear" w:color="auto" w:fill="FFFFFF"/>
        </w:rPr>
        <w:t>i</w:t>
      </w:r>
      <w:r w:rsidR="00AD094B" w:rsidRPr="00FF48AB">
        <w:rPr>
          <w:rFonts w:ascii="Arial" w:hAnsi="Arial" w:cs="Arial"/>
          <w:shd w:val="clear" w:color="auto" w:fill="FFFFFF"/>
        </w:rPr>
        <w:t>s embark</w:t>
      </w:r>
      <w:r w:rsidR="00BD2960" w:rsidRPr="00FF48AB">
        <w:rPr>
          <w:rFonts w:ascii="Arial" w:hAnsi="Arial" w:cs="Arial"/>
          <w:shd w:val="clear" w:color="auto" w:fill="FFFFFF"/>
        </w:rPr>
        <w:t xml:space="preserve">ing </w:t>
      </w:r>
      <w:r w:rsidR="00AD094B" w:rsidRPr="00FF48AB">
        <w:rPr>
          <w:rFonts w:ascii="Arial" w:hAnsi="Arial" w:cs="Arial"/>
          <w:shd w:val="clear" w:color="auto" w:fill="FFFFFF"/>
        </w:rPr>
        <w:t>on the Nine Year Continuous</w:t>
      </w:r>
      <w:r w:rsidR="00BD2960" w:rsidRPr="00FF48AB">
        <w:rPr>
          <w:rFonts w:ascii="Arial" w:hAnsi="Arial" w:cs="Arial"/>
          <w:shd w:val="clear" w:color="auto" w:fill="FFFFFF"/>
        </w:rPr>
        <w:t xml:space="preserve"> Basic Education </w:t>
      </w:r>
      <w:r w:rsidR="00833827" w:rsidRPr="00FF48AB">
        <w:rPr>
          <w:rFonts w:ascii="Arial" w:hAnsi="Arial" w:cs="Arial"/>
          <w:shd w:val="clear" w:color="auto" w:fill="FFFFFF"/>
        </w:rPr>
        <w:t xml:space="preserve">(NYCBE) </w:t>
      </w:r>
      <w:r w:rsidR="00BD2960" w:rsidRPr="00FF48AB">
        <w:rPr>
          <w:rFonts w:ascii="Arial" w:hAnsi="Arial" w:cs="Arial"/>
          <w:shd w:val="clear" w:color="auto" w:fill="FFFFFF"/>
        </w:rPr>
        <w:t>Reform process.</w:t>
      </w:r>
      <w:r w:rsidR="00AD094B" w:rsidRPr="00FF48AB">
        <w:rPr>
          <w:rFonts w:ascii="Arial" w:hAnsi="Arial" w:cs="Arial"/>
          <w:shd w:val="clear" w:color="auto" w:fill="FFFFFF"/>
        </w:rPr>
        <w:t xml:space="preserve"> </w:t>
      </w:r>
      <w:r w:rsidR="00BD2960" w:rsidRPr="00FF48AB">
        <w:rPr>
          <w:rFonts w:ascii="Arial" w:hAnsi="Arial" w:cs="Arial"/>
          <w:shd w:val="clear" w:color="auto" w:fill="FFFFFF"/>
        </w:rPr>
        <w:t xml:space="preserve">This </w:t>
      </w:r>
      <w:r w:rsidR="00AD094B" w:rsidRPr="00FF48AB">
        <w:rPr>
          <w:rFonts w:ascii="Arial" w:hAnsi="Arial" w:cs="Arial"/>
          <w:shd w:val="clear" w:color="auto" w:fill="FFFFFF"/>
        </w:rPr>
        <w:t>is a comprehensive</w:t>
      </w:r>
      <w:r w:rsidR="00EA1B11" w:rsidRPr="00FF48AB">
        <w:rPr>
          <w:rFonts w:ascii="Arial" w:hAnsi="Arial" w:cs="Arial"/>
          <w:lang w:val="en-GB"/>
        </w:rPr>
        <w:t xml:space="preserve"> reform agenda that encompasses all sub-sectors of Education, right </w:t>
      </w:r>
      <w:r w:rsidR="00513B1B" w:rsidRPr="00FF48AB">
        <w:rPr>
          <w:rFonts w:ascii="Arial" w:hAnsi="Arial" w:cs="Arial"/>
          <w:lang w:val="en-GB"/>
        </w:rPr>
        <w:t>up</w:t>
      </w:r>
      <w:r w:rsidR="00EA1B11" w:rsidRPr="00FF48AB">
        <w:rPr>
          <w:rFonts w:ascii="Arial" w:hAnsi="Arial" w:cs="Arial"/>
          <w:lang w:val="en-GB"/>
        </w:rPr>
        <w:t xml:space="preserve"> to the Post-Secondary (TVET &amp; Tertiary Education)</w:t>
      </w:r>
      <w:r w:rsidR="005F6D60" w:rsidRPr="00FF48AB">
        <w:rPr>
          <w:rFonts w:ascii="Arial" w:hAnsi="Arial" w:cs="Arial"/>
          <w:lang w:val="en-GB"/>
        </w:rPr>
        <w:t xml:space="preserve"> and </w:t>
      </w:r>
      <w:r w:rsidR="005F6D60" w:rsidRPr="004F31AF">
        <w:rPr>
          <w:rFonts w:ascii="Arial" w:hAnsi="Arial" w:cs="Arial"/>
          <w:lang w:val="en-GB"/>
        </w:rPr>
        <w:t>includes teacher education</w:t>
      </w:r>
      <w:r w:rsidR="00BD2960" w:rsidRPr="004F31AF">
        <w:rPr>
          <w:rFonts w:ascii="Arial" w:hAnsi="Arial" w:cs="Arial"/>
          <w:lang w:val="en-GB"/>
        </w:rPr>
        <w:t>.</w:t>
      </w:r>
    </w:p>
    <w:p w:rsidR="000D32F3" w:rsidRPr="004F31AF" w:rsidRDefault="00016D90" w:rsidP="00513B1B">
      <w:pPr>
        <w:jc w:val="both"/>
        <w:rPr>
          <w:rFonts w:ascii="Arial" w:hAnsi="Arial" w:cs="Arial"/>
        </w:rPr>
      </w:pPr>
      <w:r w:rsidRPr="004F31AF">
        <w:rPr>
          <w:rFonts w:ascii="Arial" w:hAnsi="Arial" w:cs="Arial"/>
          <w:b/>
        </w:rPr>
        <w:t>Pre</w:t>
      </w:r>
      <w:r w:rsidR="00DB77CE" w:rsidRPr="004F31AF">
        <w:rPr>
          <w:rFonts w:ascii="Arial" w:hAnsi="Arial" w:cs="Arial"/>
          <w:b/>
        </w:rPr>
        <w:t>-</w:t>
      </w:r>
      <w:r w:rsidRPr="004F31AF">
        <w:rPr>
          <w:rFonts w:ascii="Arial" w:hAnsi="Arial" w:cs="Arial"/>
          <w:b/>
        </w:rPr>
        <w:t xml:space="preserve">Primary </w:t>
      </w:r>
      <w:r w:rsidR="00513B1B" w:rsidRPr="004F31AF">
        <w:rPr>
          <w:rFonts w:ascii="Arial" w:hAnsi="Arial" w:cs="Arial"/>
          <w:b/>
        </w:rPr>
        <w:t>–</w:t>
      </w:r>
      <w:r w:rsidR="000D32F3" w:rsidRPr="004F31AF">
        <w:rPr>
          <w:rFonts w:ascii="Arial" w:hAnsi="Arial" w:cs="Arial"/>
          <w:lang w:val="en-GB"/>
        </w:rPr>
        <w:t>Th</w:t>
      </w:r>
      <w:r w:rsidR="00513B1B" w:rsidRPr="004F31AF">
        <w:rPr>
          <w:rFonts w:ascii="Arial" w:hAnsi="Arial" w:cs="Arial"/>
          <w:lang w:val="en-GB"/>
        </w:rPr>
        <w:t xml:space="preserve">is sub-sector builds </w:t>
      </w:r>
      <w:r w:rsidR="000D32F3" w:rsidRPr="004F31AF">
        <w:rPr>
          <w:rFonts w:ascii="Arial" w:hAnsi="Arial" w:cs="Arial"/>
          <w:lang w:val="en-GB"/>
        </w:rPr>
        <w:t>the foundations upon whic</w:t>
      </w:r>
      <w:r w:rsidR="00513B1B" w:rsidRPr="004F31AF">
        <w:rPr>
          <w:rFonts w:ascii="Arial" w:hAnsi="Arial" w:cs="Arial"/>
          <w:lang w:val="en-GB"/>
        </w:rPr>
        <w:t>h all future learning</w:t>
      </w:r>
      <w:r w:rsidR="000D32F3" w:rsidRPr="004F31AF">
        <w:rPr>
          <w:rFonts w:ascii="Arial" w:hAnsi="Arial" w:cs="Arial"/>
          <w:lang w:val="en-GB"/>
        </w:rPr>
        <w:t xml:space="preserve"> depends. </w:t>
      </w:r>
      <w:r w:rsidR="00513B1B" w:rsidRPr="004F31AF">
        <w:rPr>
          <w:rFonts w:ascii="Arial" w:hAnsi="Arial" w:cs="Arial"/>
          <w:lang w:val="en-GB"/>
        </w:rPr>
        <w:t>It</w:t>
      </w:r>
      <w:r w:rsidR="000D32F3" w:rsidRPr="004F31AF">
        <w:rPr>
          <w:rFonts w:ascii="Arial" w:hAnsi="Arial" w:cs="Arial"/>
        </w:rPr>
        <w:t xml:space="preserve"> has accordingly experienced major transformations in terms of increased access</w:t>
      </w:r>
      <w:r w:rsidR="005104BF" w:rsidRPr="004F31AF">
        <w:rPr>
          <w:rFonts w:ascii="Arial" w:hAnsi="Arial" w:cs="Arial"/>
        </w:rPr>
        <w:t xml:space="preserve"> </w:t>
      </w:r>
      <w:r w:rsidR="006B0912" w:rsidRPr="004F31AF">
        <w:rPr>
          <w:rFonts w:ascii="Arial" w:hAnsi="Arial" w:cs="Arial"/>
        </w:rPr>
        <w:t>(enrolment rate of 98</w:t>
      </w:r>
      <w:r w:rsidR="00555C77" w:rsidRPr="004F31AF">
        <w:rPr>
          <w:rFonts w:ascii="Arial" w:hAnsi="Arial" w:cs="Arial"/>
        </w:rPr>
        <w:t>%</w:t>
      </w:r>
      <w:r w:rsidR="00BE277D" w:rsidRPr="004F31AF">
        <w:rPr>
          <w:rFonts w:ascii="Arial" w:hAnsi="Arial" w:cs="Arial"/>
        </w:rPr>
        <w:t xml:space="preserve">), establishment of norms and standards, a </w:t>
      </w:r>
      <w:r w:rsidR="0005514A" w:rsidRPr="004F31AF">
        <w:rPr>
          <w:rFonts w:ascii="Arial" w:hAnsi="Arial" w:cs="Arial"/>
        </w:rPr>
        <w:t xml:space="preserve">National </w:t>
      </w:r>
      <w:r w:rsidR="006B0912" w:rsidRPr="004F31AF">
        <w:rPr>
          <w:rFonts w:ascii="Arial" w:hAnsi="Arial" w:cs="Arial"/>
        </w:rPr>
        <w:t>Curriculum</w:t>
      </w:r>
      <w:r w:rsidR="003E7DC6" w:rsidRPr="004F31AF">
        <w:rPr>
          <w:rFonts w:ascii="Arial" w:hAnsi="Arial" w:cs="Arial"/>
        </w:rPr>
        <w:t xml:space="preserve"> Framework and </w:t>
      </w:r>
      <w:r w:rsidR="00513B1B" w:rsidRPr="004F31AF">
        <w:rPr>
          <w:rFonts w:ascii="Arial" w:hAnsi="Arial" w:cs="Arial"/>
        </w:rPr>
        <w:t xml:space="preserve">capacity </w:t>
      </w:r>
      <w:r w:rsidR="00BE277D" w:rsidRPr="004F31AF">
        <w:rPr>
          <w:rFonts w:ascii="Arial" w:hAnsi="Arial" w:cs="Arial"/>
        </w:rPr>
        <w:t>building</w:t>
      </w:r>
      <w:r w:rsidR="00400DFF" w:rsidRPr="004F31AF">
        <w:rPr>
          <w:rFonts w:ascii="Arial" w:hAnsi="Arial" w:cs="Arial"/>
        </w:rPr>
        <w:t xml:space="preserve"> for teachers</w:t>
      </w:r>
      <w:r w:rsidR="00513B1B" w:rsidRPr="004F31AF">
        <w:rPr>
          <w:rFonts w:ascii="Arial" w:hAnsi="Arial" w:cs="Arial"/>
        </w:rPr>
        <w:t>.</w:t>
      </w:r>
      <w:r w:rsidR="00924B1D" w:rsidRPr="004F31AF">
        <w:rPr>
          <w:rFonts w:ascii="Arial" w:hAnsi="Arial" w:cs="Arial"/>
        </w:rPr>
        <w:t xml:space="preserve"> Equity dictates the provision </w:t>
      </w:r>
      <w:r w:rsidR="00513B1B" w:rsidRPr="004F31AF">
        <w:rPr>
          <w:rFonts w:ascii="Arial" w:hAnsi="Arial" w:cs="Arial"/>
        </w:rPr>
        <w:t xml:space="preserve">by Government </w:t>
      </w:r>
      <w:r w:rsidR="00924B1D" w:rsidRPr="004F31AF">
        <w:rPr>
          <w:rFonts w:ascii="Arial" w:hAnsi="Arial" w:cs="Arial"/>
        </w:rPr>
        <w:t xml:space="preserve">of pre-school services in disadvantaged regions, with pre-school </w:t>
      </w:r>
      <w:r w:rsidR="00400DFF" w:rsidRPr="004F31AF">
        <w:rPr>
          <w:rFonts w:ascii="Arial" w:hAnsi="Arial" w:cs="Arial"/>
        </w:rPr>
        <w:t>u</w:t>
      </w:r>
      <w:r w:rsidR="00924B1D" w:rsidRPr="004F31AF">
        <w:rPr>
          <w:rFonts w:ascii="Arial" w:hAnsi="Arial" w:cs="Arial"/>
        </w:rPr>
        <w:t xml:space="preserve">nits being set up where there is no private </w:t>
      </w:r>
      <w:r w:rsidR="00513B1B" w:rsidRPr="004F31AF">
        <w:rPr>
          <w:rFonts w:ascii="Arial" w:hAnsi="Arial" w:cs="Arial"/>
        </w:rPr>
        <w:t>provision. A</w:t>
      </w:r>
      <w:r w:rsidR="00BE277D" w:rsidRPr="004F31AF">
        <w:rPr>
          <w:rFonts w:ascii="Arial" w:hAnsi="Arial" w:cs="Arial"/>
        </w:rPr>
        <w:t xml:space="preserve">n effective partnership </w:t>
      </w:r>
      <w:r w:rsidR="00513B1B" w:rsidRPr="004F31AF">
        <w:rPr>
          <w:rFonts w:ascii="Arial" w:hAnsi="Arial" w:cs="Arial"/>
        </w:rPr>
        <w:t xml:space="preserve">exists </w:t>
      </w:r>
      <w:r w:rsidR="00BE277D" w:rsidRPr="004F31AF">
        <w:rPr>
          <w:rFonts w:ascii="Arial" w:hAnsi="Arial" w:cs="Arial"/>
        </w:rPr>
        <w:t>between the public and private sector</w:t>
      </w:r>
      <w:r w:rsidR="00513B1B" w:rsidRPr="004F31AF">
        <w:rPr>
          <w:rFonts w:ascii="Arial" w:hAnsi="Arial" w:cs="Arial"/>
        </w:rPr>
        <w:t>s</w:t>
      </w:r>
      <w:r w:rsidR="00400DFF" w:rsidRPr="004F31AF">
        <w:rPr>
          <w:rFonts w:ascii="Arial" w:hAnsi="Arial" w:cs="Arial"/>
        </w:rPr>
        <w:t xml:space="preserve">, the latter </w:t>
      </w:r>
      <w:r w:rsidR="00555C77" w:rsidRPr="004F31AF">
        <w:rPr>
          <w:rFonts w:ascii="Arial" w:hAnsi="Arial" w:cs="Arial"/>
        </w:rPr>
        <w:t>cater</w:t>
      </w:r>
      <w:r w:rsidR="00400DFF" w:rsidRPr="004F31AF">
        <w:rPr>
          <w:rFonts w:ascii="Arial" w:hAnsi="Arial" w:cs="Arial"/>
        </w:rPr>
        <w:t>ing</w:t>
      </w:r>
      <w:r w:rsidR="00555C77" w:rsidRPr="004F31AF">
        <w:rPr>
          <w:rFonts w:ascii="Arial" w:hAnsi="Arial" w:cs="Arial"/>
        </w:rPr>
        <w:t xml:space="preserve"> for 80%</w:t>
      </w:r>
      <w:r w:rsidR="00BE277D" w:rsidRPr="004F31AF">
        <w:rPr>
          <w:rFonts w:ascii="Arial" w:hAnsi="Arial" w:cs="Arial"/>
        </w:rPr>
        <w:t xml:space="preserve"> of the pre-school popu</w:t>
      </w:r>
      <w:r w:rsidR="005104BF" w:rsidRPr="004F31AF">
        <w:rPr>
          <w:rFonts w:ascii="Arial" w:hAnsi="Arial" w:cs="Arial"/>
        </w:rPr>
        <w:t xml:space="preserve">lation. Government also </w:t>
      </w:r>
      <w:r w:rsidR="00470241" w:rsidRPr="004F31AF">
        <w:rPr>
          <w:rFonts w:ascii="Arial" w:hAnsi="Arial" w:cs="Arial"/>
        </w:rPr>
        <w:t>subsidizes</w:t>
      </w:r>
      <w:r w:rsidR="00BE277D" w:rsidRPr="004F31AF">
        <w:rPr>
          <w:rFonts w:ascii="Arial" w:hAnsi="Arial" w:cs="Arial"/>
        </w:rPr>
        <w:t xml:space="preserve"> the </w:t>
      </w:r>
      <w:r w:rsidR="009B76AC" w:rsidRPr="004F31AF">
        <w:rPr>
          <w:rFonts w:ascii="Arial" w:hAnsi="Arial" w:cs="Arial"/>
        </w:rPr>
        <w:t xml:space="preserve">private </w:t>
      </w:r>
      <w:r w:rsidR="00BE277D" w:rsidRPr="004F31AF">
        <w:rPr>
          <w:rFonts w:ascii="Arial" w:hAnsi="Arial" w:cs="Arial"/>
        </w:rPr>
        <w:t xml:space="preserve">sector through a </w:t>
      </w:r>
      <w:r w:rsidR="0005514A" w:rsidRPr="004F31AF">
        <w:rPr>
          <w:rFonts w:ascii="Arial" w:hAnsi="Arial" w:cs="Arial"/>
        </w:rPr>
        <w:t xml:space="preserve">monthly </w:t>
      </w:r>
      <w:r w:rsidR="00BE277D" w:rsidRPr="004F31AF">
        <w:rPr>
          <w:rFonts w:ascii="Arial" w:hAnsi="Arial" w:cs="Arial"/>
        </w:rPr>
        <w:t xml:space="preserve">per capita grant of </w:t>
      </w:r>
      <w:r w:rsidR="00555C77" w:rsidRPr="004F31AF">
        <w:rPr>
          <w:rFonts w:ascii="Arial" w:hAnsi="Arial" w:cs="Arial"/>
        </w:rPr>
        <w:t>$6. Our</w:t>
      </w:r>
      <w:r w:rsidR="000D32F3" w:rsidRPr="004F31AF">
        <w:rPr>
          <w:rFonts w:ascii="Arial" w:hAnsi="Arial" w:cs="Arial"/>
        </w:rPr>
        <w:t xml:space="preserve"> track record</w:t>
      </w:r>
      <w:r w:rsidR="00555C77" w:rsidRPr="004F31AF">
        <w:rPr>
          <w:rFonts w:ascii="Arial" w:hAnsi="Arial" w:cs="Arial"/>
        </w:rPr>
        <w:t xml:space="preserve"> has led to </w:t>
      </w:r>
      <w:r w:rsidR="000D32F3" w:rsidRPr="004F31AF">
        <w:rPr>
          <w:rFonts w:ascii="Arial" w:hAnsi="Arial" w:cs="Arial"/>
        </w:rPr>
        <w:t>Mauritius host</w:t>
      </w:r>
      <w:r w:rsidR="00555C77" w:rsidRPr="004F31AF">
        <w:rPr>
          <w:rFonts w:ascii="Arial" w:hAnsi="Arial" w:cs="Arial"/>
        </w:rPr>
        <w:t xml:space="preserve">ing ADEA’s </w:t>
      </w:r>
      <w:r w:rsidR="007513FD" w:rsidRPr="004F31AF">
        <w:rPr>
          <w:rFonts w:ascii="Arial" w:hAnsi="Arial" w:cs="Arial"/>
        </w:rPr>
        <w:t xml:space="preserve">Inter-Country Quality Node </w:t>
      </w:r>
      <w:r w:rsidR="0005514A" w:rsidRPr="004F31AF">
        <w:rPr>
          <w:rFonts w:ascii="Arial" w:hAnsi="Arial" w:cs="Arial"/>
        </w:rPr>
        <w:t xml:space="preserve">for </w:t>
      </w:r>
      <w:r w:rsidR="007513FD" w:rsidRPr="004F31AF">
        <w:rPr>
          <w:rFonts w:ascii="Arial" w:hAnsi="Arial" w:cs="Arial"/>
        </w:rPr>
        <w:t>Early Childhood Development (</w:t>
      </w:r>
      <w:r w:rsidR="000D32F3" w:rsidRPr="004F31AF">
        <w:rPr>
          <w:rFonts w:ascii="Arial" w:hAnsi="Arial" w:cs="Arial"/>
        </w:rPr>
        <w:t>ICQN ECD</w:t>
      </w:r>
      <w:r w:rsidR="007513FD" w:rsidRPr="004F31AF">
        <w:rPr>
          <w:rFonts w:ascii="Arial" w:hAnsi="Arial" w:cs="Arial"/>
        </w:rPr>
        <w:t>)</w:t>
      </w:r>
      <w:r w:rsidR="000D32F3" w:rsidRPr="004F31AF">
        <w:rPr>
          <w:rFonts w:ascii="Arial" w:hAnsi="Arial" w:cs="Arial"/>
        </w:rPr>
        <w:t>.</w:t>
      </w:r>
    </w:p>
    <w:p w:rsidR="00B85631" w:rsidRPr="004F31AF" w:rsidRDefault="0019784E" w:rsidP="00513B1B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  <w:r w:rsidRPr="004F31AF">
        <w:rPr>
          <w:rFonts w:ascii="Arial" w:hAnsi="Arial" w:cs="Arial"/>
          <w:b/>
        </w:rPr>
        <w:t>Primary</w:t>
      </w:r>
      <w:r w:rsidR="005104BF" w:rsidRPr="004F31AF">
        <w:rPr>
          <w:rFonts w:ascii="Arial" w:hAnsi="Arial" w:cs="Arial"/>
          <w:b/>
        </w:rPr>
        <w:t xml:space="preserve"> </w:t>
      </w:r>
      <w:r w:rsidR="007C10ED" w:rsidRPr="004F31AF">
        <w:rPr>
          <w:rFonts w:ascii="Arial" w:hAnsi="Arial" w:cs="Arial"/>
          <w:b/>
        </w:rPr>
        <w:t>–</w:t>
      </w:r>
      <w:r w:rsidRPr="004F31AF">
        <w:rPr>
          <w:rFonts w:ascii="Arial" w:hAnsi="Arial" w:cs="Arial"/>
          <w:b/>
        </w:rPr>
        <w:t xml:space="preserve"> </w:t>
      </w:r>
      <w:r w:rsidR="007C10ED" w:rsidRPr="004F31AF">
        <w:rPr>
          <w:rFonts w:ascii="Arial" w:hAnsi="Arial" w:cs="Arial"/>
        </w:rPr>
        <w:t xml:space="preserve">The Primary Sector has for objective to </w:t>
      </w:r>
      <w:r w:rsidR="00E447F1" w:rsidRPr="004F31AF">
        <w:rPr>
          <w:rFonts w:ascii="Arial" w:hAnsi="Arial" w:cs="Arial"/>
        </w:rPr>
        <w:t>sustain equitable access to quality education, ensuring that all learners attain high levels of achievement</w:t>
      </w:r>
      <w:r w:rsidR="007C10ED" w:rsidRPr="004F31AF">
        <w:rPr>
          <w:rFonts w:ascii="Arial" w:hAnsi="Arial" w:cs="Arial"/>
        </w:rPr>
        <w:t>.</w:t>
      </w:r>
      <w:r w:rsidR="007C10ED" w:rsidRPr="004F31AF">
        <w:rPr>
          <w:rFonts w:ascii="Arial" w:hAnsi="Arial" w:cs="Arial"/>
          <w:b/>
        </w:rPr>
        <w:t xml:space="preserve"> </w:t>
      </w:r>
      <w:r w:rsidR="0005514A" w:rsidRPr="004F31AF">
        <w:rPr>
          <w:rFonts w:ascii="Arial" w:hAnsi="Arial" w:cs="Arial"/>
          <w:b/>
        </w:rPr>
        <w:t xml:space="preserve"> </w:t>
      </w:r>
      <w:r w:rsidR="00B85631" w:rsidRPr="004F31AF">
        <w:rPr>
          <w:rFonts w:ascii="Arial" w:hAnsi="Arial" w:cs="Arial"/>
        </w:rPr>
        <w:t>T</w:t>
      </w:r>
      <w:r w:rsidR="008222BE" w:rsidRPr="004F31AF">
        <w:rPr>
          <w:rFonts w:ascii="Arial" w:hAnsi="Arial" w:cs="Arial"/>
        </w:rPr>
        <w:t xml:space="preserve">he introduction of the Nine Year Continuous </w:t>
      </w:r>
      <w:r w:rsidR="007513FD" w:rsidRPr="004F31AF">
        <w:rPr>
          <w:rFonts w:ascii="Arial" w:hAnsi="Arial" w:cs="Arial"/>
        </w:rPr>
        <w:t>Basic Education</w:t>
      </w:r>
      <w:r w:rsidR="00CE529D" w:rsidRPr="004F31AF">
        <w:rPr>
          <w:rFonts w:ascii="Arial" w:hAnsi="Arial" w:cs="Arial"/>
        </w:rPr>
        <w:t xml:space="preserve"> (NYCBE) </w:t>
      </w:r>
      <w:r w:rsidR="007513FD" w:rsidRPr="004F31AF">
        <w:rPr>
          <w:rFonts w:ascii="Arial" w:hAnsi="Arial" w:cs="Arial"/>
        </w:rPr>
        <w:t>reform</w:t>
      </w:r>
      <w:r w:rsidR="00B85631" w:rsidRPr="004F31AF">
        <w:rPr>
          <w:rFonts w:ascii="Arial" w:hAnsi="Arial" w:cs="Arial"/>
        </w:rPr>
        <w:t xml:space="preserve"> as from </w:t>
      </w:r>
      <w:r w:rsidR="00C72418" w:rsidRPr="004F31AF">
        <w:rPr>
          <w:rFonts w:ascii="Arial" w:hAnsi="Arial" w:cs="Arial"/>
        </w:rPr>
        <w:t>2017</w:t>
      </w:r>
      <w:r w:rsidR="00B85631" w:rsidRPr="004F31AF">
        <w:rPr>
          <w:rFonts w:ascii="Arial" w:hAnsi="Arial" w:cs="Arial"/>
        </w:rPr>
        <w:t xml:space="preserve"> will establish a sound foundation for learning and self-development, with a strong </w:t>
      </w:r>
      <w:r w:rsidR="00B85631" w:rsidRPr="004F31AF">
        <w:rPr>
          <w:rFonts w:ascii="Arial" w:hAnsi="Arial" w:cs="Arial"/>
        </w:rPr>
        <w:lastRenderedPageBreak/>
        <w:t xml:space="preserve">emphasis on formative assessment and a review of the curriculum and the pedagogy. </w:t>
      </w:r>
      <w:r w:rsidR="00E154A8" w:rsidRPr="004F31AF">
        <w:rPr>
          <w:rFonts w:ascii="Arial" w:hAnsi="Arial" w:cs="Arial"/>
        </w:rPr>
        <w:t xml:space="preserve">ICT </w:t>
      </w:r>
      <w:r w:rsidR="00400DFF" w:rsidRPr="004F31AF">
        <w:rPr>
          <w:rFonts w:ascii="Arial" w:hAnsi="Arial" w:cs="Arial"/>
        </w:rPr>
        <w:t>will be</w:t>
      </w:r>
      <w:r w:rsidR="00CA68E2" w:rsidRPr="004F31AF">
        <w:rPr>
          <w:rFonts w:ascii="Arial" w:hAnsi="Arial" w:cs="Arial"/>
        </w:rPr>
        <w:t xml:space="preserve"> used </w:t>
      </w:r>
      <w:r w:rsidR="00E154A8" w:rsidRPr="004F31AF">
        <w:rPr>
          <w:rFonts w:ascii="Arial" w:hAnsi="Arial" w:cs="Arial"/>
        </w:rPr>
        <w:t>for transacting the ped</w:t>
      </w:r>
      <w:r w:rsidR="007C10ED" w:rsidRPr="004F31AF">
        <w:rPr>
          <w:rFonts w:ascii="Arial" w:hAnsi="Arial" w:cs="Arial"/>
        </w:rPr>
        <w:t xml:space="preserve">agogy as well as for the </w:t>
      </w:r>
      <w:r w:rsidR="005A10EC" w:rsidRPr="004F31AF">
        <w:rPr>
          <w:rFonts w:ascii="Arial" w:hAnsi="Arial" w:cs="Arial"/>
        </w:rPr>
        <w:t>digitization</w:t>
      </w:r>
      <w:r w:rsidR="00E154A8" w:rsidRPr="004F31AF">
        <w:rPr>
          <w:rFonts w:ascii="Arial" w:hAnsi="Arial" w:cs="Arial"/>
        </w:rPr>
        <w:t xml:space="preserve"> </w:t>
      </w:r>
      <w:r w:rsidR="00CA68E2" w:rsidRPr="004F31AF">
        <w:rPr>
          <w:rFonts w:ascii="Arial" w:hAnsi="Arial" w:cs="Arial"/>
        </w:rPr>
        <w:t>of learning materials</w:t>
      </w:r>
      <w:r w:rsidR="007C10ED" w:rsidRPr="004F31AF">
        <w:rPr>
          <w:rFonts w:ascii="Arial" w:hAnsi="Arial" w:cs="Arial"/>
        </w:rPr>
        <w:t>.</w:t>
      </w:r>
      <w:r w:rsidR="00E154A8" w:rsidRPr="004F31AF">
        <w:rPr>
          <w:rFonts w:ascii="Arial" w:hAnsi="Arial" w:cs="Arial"/>
        </w:rPr>
        <w:t xml:space="preserve"> </w:t>
      </w:r>
      <w:r w:rsidR="00B85631" w:rsidRPr="004F31AF">
        <w:rPr>
          <w:rFonts w:ascii="Arial" w:hAnsi="Arial" w:cs="Arial"/>
        </w:rPr>
        <w:t>T</w:t>
      </w:r>
      <w:r w:rsidR="0072230C" w:rsidRPr="004F31AF">
        <w:rPr>
          <w:rFonts w:ascii="Arial" w:hAnsi="Arial" w:cs="Arial"/>
        </w:rPr>
        <w:t>he Certificate of Primary Education (CPE)</w:t>
      </w:r>
      <w:r w:rsidR="005104BF" w:rsidRPr="004F31AF">
        <w:rPr>
          <w:rFonts w:ascii="Arial" w:hAnsi="Arial" w:cs="Arial"/>
        </w:rPr>
        <w:t xml:space="preserve"> </w:t>
      </w:r>
      <w:r w:rsidR="00924B1D" w:rsidRPr="004F31AF">
        <w:rPr>
          <w:rFonts w:ascii="Arial" w:hAnsi="Arial" w:cs="Arial"/>
        </w:rPr>
        <w:t xml:space="preserve">that traditionally has marked the end of primary schooling after six years of </w:t>
      </w:r>
      <w:r w:rsidR="00CA68E2" w:rsidRPr="004F31AF">
        <w:rPr>
          <w:rFonts w:ascii="Arial" w:hAnsi="Arial" w:cs="Arial"/>
        </w:rPr>
        <w:t>study will</w:t>
      </w:r>
      <w:r w:rsidR="0072230C" w:rsidRPr="004F31AF">
        <w:rPr>
          <w:rFonts w:ascii="Arial" w:hAnsi="Arial" w:cs="Arial"/>
        </w:rPr>
        <w:t xml:space="preserve"> b</w:t>
      </w:r>
      <w:r w:rsidR="007C10ED" w:rsidRPr="004F31AF">
        <w:rPr>
          <w:rFonts w:ascii="Arial" w:hAnsi="Arial" w:cs="Arial"/>
        </w:rPr>
        <w:t>e replaced by the P</w:t>
      </w:r>
      <w:r w:rsidR="00B85631" w:rsidRPr="004F31AF">
        <w:rPr>
          <w:rFonts w:ascii="Arial" w:hAnsi="Arial" w:cs="Arial"/>
        </w:rPr>
        <w:t xml:space="preserve">rimary </w:t>
      </w:r>
      <w:r w:rsidR="007C10ED" w:rsidRPr="004F31AF">
        <w:rPr>
          <w:rFonts w:ascii="Arial" w:hAnsi="Arial" w:cs="Arial"/>
        </w:rPr>
        <w:t>School</w:t>
      </w:r>
      <w:r w:rsidR="0072230C" w:rsidRPr="004F31AF">
        <w:rPr>
          <w:rFonts w:ascii="Arial" w:hAnsi="Arial" w:cs="Arial"/>
        </w:rPr>
        <w:t xml:space="preserve"> </w:t>
      </w:r>
      <w:r w:rsidR="007C10ED" w:rsidRPr="004F31AF">
        <w:rPr>
          <w:rFonts w:ascii="Arial" w:hAnsi="Arial" w:cs="Arial"/>
        </w:rPr>
        <w:t>Achievement C</w:t>
      </w:r>
      <w:r w:rsidR="00833827" w:rsidRPr="004F31AF">
        <w:rPr>
          <w:rFonts w:ascii="Arial" w:hAnsi="Arial" w:cs="Arial"/>
        </w:rPr>
        <w:t>ertificate (PSAC)</w:t>
      </w:r>
      <w:r w:rsidR="00924B1D" w:rsidRPr="004F31AF">
        <w:rPr>
          <w:rFonts w:ascii="Arial" w:hAnsi="Arial" w:cs="Arial"/>
        </w:rPr>
        <w:t xml:space="preserve"> as from </w:t>
      </w:r>
      <w:r w:rsidR="00400DFF" w:rsidRPr="004F31AF">
        <w:rPr>
          <w:rFonts w:ascii="Arial" w:hAnsi="Arial" w:cs="Arial"/>
        </w:rPr>
        <w:t xml:space="preserve">the </w:t>
      </w:r>
      <w:r w:rsidR="00924B1D" w:rsidRPr="004F31AF">
        <w:rPr>
          <w:rFonts w:ascii="Arial" w:hAnsi="Arial" w:cs="Arial"/>
        </w:rPr>
        <w:t>end of 2017</w:t>
      </w:r>
      <w:r w:rsidR="0072230C" w:rsidRPr="004F31AF">
        <w:rPr>
          <w:rFonts w:ascii="Arial" w:hAnsi="Arial" w:cs="Arial"/>
        </w:rPr>
        <w:t xml:space="preserve">. </w:t>
      </w:r>
      <w:r w:rsidR="00CA68E2" w:rsidRPr="004F31AF">
        <w:rPr>
          <w:rFonts w:ascii="Arial" w:hAnsi="Arial" w:cs="Arial"/>
        </w:rPr>
        <w:t>R</w:t>
      </w:r>
      <w:r w:rsidR="00B85631" w:rsidRPr="004F31AF">
        <w:rPr>
          <w:rFonts w:ascii="Arial" w:hAnsi="Arial" w:cs="Arial"/>
        </w:rPr>
        <w:t>emedial education</w:t>
      </w:r>
      <w:r w:rsidR="005104BF" w:rsidRPr="004F31AF">
        <w:rPr>
          <w:rFonts w:ascii="Arial" w:hAnsi="Arial" w:cs="Arial"/>
        </w:rPr>
        <w:t xml:space="preserve"> </w:t>
      </w:r>
      <w:r w:rsidR="00B85631" w:rsidRPr="004F31AF">
        <w:rPr>
          <w:rFonts w:ascii="Arial" w:hAnsi="Arial" w:cs="Arial"/>
        </w:rPr>
        <w:t xml:space="preserve">will be provided at an early stage </w:t>
      </w:r>
      <w:r w:rsidR="00400DFF" w:rsidRPr="004F31AF">
        <w:rPr>
          <w:rFonts w:ascii="Arial" w:hAnsi="Arial" w:cs="Arial"/>
        </w:rPr>
        <w:t>at</w:t>
      </w:r>
      <w:r w:rsidR="00B85631" w:rsidRPr="004F31AF">
        <w:rPr>
          <w:rFonts w:ascii="Arial" w:hAnsi="Arial" w:cs="Arial"/>
        </w:rPr>
        <w:t xml:space="preserve"> the </w:t>
      </w:r>
      <w:r w:rsidR="00400DFF" w:rsidRPr="004F31AF">
        <w:rPr>
          <w:rFonts w:ascii="Arial" w:hAnsi="Arial" w:cs="Arial"/>
        </w:rPr>
        <w:t>p</w:t>
      </w:r>
      <w:r w:rsidR="00B85631" w:rsidRPr="004F31AF">
        <w:rPr>
          <w:rFonts w:ascii="Arial" w:hAnsi="Arial" w:cs="Arial"/>
        </w:rPr>
        <w:t xml:space="preserve">rimary in order to deal with </w:t>
      </w:r>
      <w:r w:rsidR="00E154A8" w:rsidRPr="004F31AF">
        <w:rPr>
          <w:rFonts w:ascii="Arial" w:hAnsi="Arial" w:cs="Arial"/>
        </w:rPr>
        <w:t>the issue of accumulated learning deficits that result</w:t>
      </w:r>
      <w:r w:rsidR="00760FC0" w:rsidRPr="004F31AF">
        <w:rPr>
          <w:rFonts w:ascii="Arial" w:hAnsi="Arial" w:cs="Arial"/>
        </w:rPr>
        <w:t>s</w:t>
      </w:r>
      <w:r w:rsidR="00E154A8" w:rsidRPr="004F31AF">
        <w:rPr>
          <w:rFonts w:ascii="Arial" w:hAnsi="Arial" w:cs="Arial"/>
        </w:rPr>
        <w:t xml:space="preserve"> </w:t>
      </w:r>
      <w:r w:rsidR="00CA68E2" w:rsidRPr="004F31AF">
        <w:rPr>
          <w:rFonts w:ascii="Arial" w:hAnsi="Arial" w:cs="Arial"/>
        </w:rPr>
        <w:t>in drop</w:t>
      </w:r>
      <w:r w:rsidR="00B85631" w:rsidRPr="004F31AF">
        <w:rPr>
          <w:rFonts w:ascii="Arial" w:hAnsi="Arial" w:cs="Arial"/>
        </w:rPr>
        <w:t>-out</w:t>
      </w:r>
      <w:r w:rsidR="005104BF" w:rsidRPr="004F31AF">
        <w:rPr>
          <w:rFonts w:ascii="Arial" w:hAnsi="Arial" w:cs="Arial"/>
        </w:rPr>
        <w:t xml:space="preserve"> at the </w:t>
      </w:r>
      <w:r w:rsidR="00400DFF" w:rsidRPr="004F31AF">
        <w:rPr>
          <w:rFonts w:ascii="Arial" w:hAnsi="Arial" w:cs="Arial"/>
        </w:rPr>
        <w:t>s</w:t>
      </w:r>
      <w:r w:rsidR="00E154A8" w:rsidRPr="004F31AF">
        <w:rPr>
          <w:rFonts w:ascii="Arial" w:hAnsi="Arial" w:cs="Arial"/>
        </w:rPr>
        <w:t>econdary</w:t>
      </w:r>
      <w:r w:rsidR="00400DFF" w:rsidRPr="004F31AF">
        <w:rPr>
          <w:rFonts w:ascii="Arial" w:hAnsi="Arial" w:cs="Arial"/>
        </w:rPr>
        <w:t xml:space="preserve"> school</w:t>
      </w:r>
      <w:r w:rsidR="00E154A8" w:rsidRPr="004F31AF">
        <w:rPr>
          <w:rFonts w:ascii="Arial" w:hAnsi="Arial" w:cs="Arial"/>
        </w:rPr>
        <w:t xml:space="preserve"> </w:t>
      </w:r>
      <w:r w:rsidR="006B0912" w:rsidRPr="004F31AF">
        <w:rPr>
          <w:rFonts w:ascii="Arial" w:hAnsi="Arial" w:cs="Arial"/>
        </w:rPr>
        <w:t xml:space="preserve">level. </w:t>
      </w:r>
      <w:r w:rsidR="00725F8D" w:rsidRPr="004F31AF">
        <w:rPr>
          <w:rFonts w:ascii="Arial" w:hAnsi="Arial" w:cs="Arial"/>
        </w:rPr>
        <w:t>Teacher training is mandatory for the Primary Education Sector.</w:t>
      </w:r>
    </w:p>
    <w:p w:rsidR="00B85631" w:rsidRPr="004F31AF" w:rsidRDefault="00B85631" w:rsidP="00513B1B">
      <w:pPr>
        <w:spacing w:after="0"/>
        <w:jc w:val="both"/>
        <w:rPr>
          <w:rFonts w:ascii="Arial" w:hAnsi="Arial" w:cs="Arial"/>
          <w:b/>
        </w:rPr>
      </w:pPr>
    </w:p>
    <w:p w:rsidR="00993064" w:rsidRPr="004F31AF" w:rsidRDefault="00753DBE" w:rsidP="00CA68E2">
      <w:pPr>
        <w:jc w:val="both"/>
        <w:rPr>
          <w:rFonts w:ascii="Arial" w:hAnsi="Arial" w:cs="Arial"/>
        </w:rPr>
      </w:pPr>
      <w:r w:rsidRPr="004F31AF">
        <w:rPr>
          <w:rFonts w:ascii="Arial" w:hAnsi="Arial" w:cs="Arial"/>
          <w:b/>
        </w:rPr>
        <w:t>Secondary</w:t>
      </w:r>
      <w:r w:rsidR="0049148C" w:rsidRPr="004F31AF">
        <w:rPr>
          <w:rFonts w:ascii="Arial" w:hAnsi="Arial" w:cs="Arial"/>
          <w:b/>
        </w:rPr>
        <w:t>–</w:t>
      </w:r>
      <w:r w:rsidR="0064618F" w:rsidRPr="004F31AF">
        <w:rPr>
          <w:rFonts w:ascii="Arial" w:hAnsi="Arial" w:cs="Arial"/>
        </w:rPr>
        <w:t xml:space="preserve"> This sector consolidates learning and provides a strong base in view of preparing students for higher education and </w:t>
      </w:r>
      <w:r w:rsidR="00E447F1" w:rsidRPr="004F31AF">
        <w:rPr>
          <w:rFonts w:ascii="Arial" w:hAnsi="Arial" w:cs="Arial"/>
        </w:rPr>
        <w:t xml:space="preserve">training for </w:t>
      </w:r>
      <w:r w:rsidR="0064618F" w:rsidRPr="004F31AF">
        <w:rPr>
          <w:rFonts w:ascii="Arial" w:hAnsi="Arial" w:cs="Arial"/>
        </w:rPr>
        <w:t xml:space="preserve">the world of work. </w:t>
      </w:r>
      <w:r w:rsidR="0049148C" w:rsidRPr="004F31AF">
        <w:rPr>
          <w:rFonts w:ascii="Arial" w:hAnsi="Arial" w:cs="Arial"/>
        </w:rPr>
        <w:t xml:space="preserve">The NYCBE </w:t>
      </w:r>
      <w:r w:rsidR="008D30A8" w:rsidRPr="004F31AF">
        <w:rPr>
          <w:rFonts w:ascii="Arial" w:hAnsi="Arial" w:cs="Arial"/>
        </w:rPr>
        <w:t xml:space="preserve">current </w:t>
      </w:r>
      <w:r w:rsidR="0049148C" w:rsidRPr="004F31AF">
        <w:rPr>
          <w:rFonts w:ascii="Arial" w:hAnsi="Arial" w:cs="Arial"/>
        </w:rPr>
        <w:t xml:space="preserve">reforms </w:t>
      </w:r>
      <w:r w:rsidR="008D30A8" w:rsidRPr="004F31AF">
        <w:rPr>
          <w:rFonts w:ascii="Arial" w:hAnsi="Arial" w:cs="Arial"/>
        </w:rPr>
        <w:t>are</w:t>
      </w:r>
      <w:r w:rsidR="0049148C" w:rsidRPr="004F31AF">
        <w:rPr>
          <w:rFonts w:ascii="Arial" w:hAnsi="Arial" w:cs="Arial"/>
        </w:rPr>
        <w:t xml:space="preserve"> </w:t>
      </w:r>
      <w:r w:rsidR="008D30A8" w:rsidRPr="004F31AF">
        <w:rPr>
          <w:rFonts w:ascii="Arial" w:hAnsi="Arial" w:cs="Arial"/>
        </w:rPr>
        <w:t>ensuring</w:t>
      </w:r>
      <w:r w:rsidR="005104BF" w:rsidRPr="004F31AF">
        <w:rPr>
          <w:rFonts w:ascii="Arial" w:hAnsi="Arial" w:cs="Arial"/>
        </w:rPr>
        <w:t xml:space="preserve"> </w:t>
      </w:r>
      <w:r w:rsidR="00CA68E2" w:rsidRPr="004F31AF">
        <w:rPr>
          <w:rFonts w:ascii="Arial" w:hAnsi="Arial" w:cs="Arial"/>
        </w:rPr>
        <w:t xml:space="preserve">both </w:t>
      </w:r>
      <w:r w:rsidR="00F72B48" w:rsidRPr="004F31AF">
        <w:rPr>
          <w:rFonts w:ascii="Arial" w:hAnsi="Arial" w:cs="Arial"/>
        </w:rPr>
        <w:t>a s</w:t>
      </w:r>
      <w:r w:rsidR="0049148C" w:rsidRPr="004F31AF">
        <w:rPr>
          <w:rFonts w:ascii="Arial" w:hAnsi="Arial" w:cs="Arial"/>
        </w:rPr>
        <w:t xml:space="preserve">mooth transition </w:t>
      </w:r>
      <w:r w:rsidR="00CA68E2" w:rsidRPr="004F31AF">
        <w:rPr>
          <w:rFonts w:ascii="Arial" w:hAnsi="Arial" w:cs="Arial"/>
        </w:rPr>
        <w:t>to</w:t>
      </w:r>
      <w:r w:rsidR="005104BF" w:rsidRPr="004F31AF">
        <w:rPr>
          <w:rFonts w:ascii="Arial" w:hAnsi="Arial" w:cs="Arial"/>
        </w:rPr>
        <w:t xml:space="preserve"> </w:t>
      </w:r>
      <w:r w:rsidR="003C3AFA" w:rsidRPr="004F31AF">
        <w:rPr>
          <w:rFonts w:ascii="Arial" w:hAnsi="Arial" w:cs="Arial"/>
        </w:rPr>
        <w:t>the s</w:t>
      </w:r>
      <w:r w:rsidR="00CA68E2" w:rsidRPr="004F31AF">
        <w:rPr>
          <w:rFonts w:ascii="Arial" w:hAnsi="Arial" w:cs="Arial"/>
        </w:rPr>
        <w:t>econdary sub-sector</w:t>
      </w:r>
      <w:r w:rsidR="0049148C" w:rsidRPr="004F31AF">
        <w:rPr>
          <w:rFonts w:ascii="Arial" w:hAnsi="Arial" w:cs="Arial"/>
        </w:rPr>
        <w:t xml:space="preserve"> and </w:t>
      </w:r>
      <w:r w:rsidR="00F72B48" w:rsidRPr="004F31AF">
        <w:rPr>
          <w:rFonts w:ascii="Arial" w:hAnsi="Arial" w:cs="Arial"/>
        </w:rPr>
        <w:t xml:space="preserve">the </w:t>
      </w:r>
      <w:r w:rsidR="00206A67" w:rsidRPr="004F31AF">
        <w:rPr>
          <w:rFonts w:ascii="Arial" w:hAnsi="Arial" w:cs="Arial"/>
        </w:rPr>
        <w:t xml:space="preserve">completion of secondary </w:t>
      </w:r>
      <w:r w:rsidR="0049148C" w:rsidRPr="004F31AF">
        <w:rPr>
          <w:rFonts w:ascii="Arial" w:hAnsi="Arial" w:cs="Arial"/>
        </w:rPr>
        <w:t>schooling</w:t>
      </w:r>
      <w:r w:rsidR="00206A67" w:rsidRPr="004F31AF">
        <w:rPr>
          <w:rFonts w:ascii="Arial" w:hAnsi="Arial" w:cs="Arial"/>
        </w:rPr>
        <w:t xml:space="preserve">. Appropriate </w:t>
      </w:r>
      <w:r w:rsidR="008D30A8" w:rsidRPr="004F31AF">
        <w:rPr>
          <w:rFonts w:ascii="Arial" w:hAnsi="Arial" w:cs="Arial"/>
        </w:rPr>
        <w:t xml:space="preserve">pathways </w:t>
      </w:r>
      <w:r w:rsidR="00206A67" w:rsidRPr="004F31AF">
        <w:rPr>
          <w:rFonts w:ascii="Arial" w:hAnsi="Arial" w:cs="Arial"/>
        </w:rPr>
        <w:t>provide opportunities for further studies and</w:t>
      </w:r>
      <w:r w:rsidR="00F72B48" w:rsidRPr="004F31AF">
        <w:rPr>
          <w:rFonts w:ascii="Arial" w:hAnsi="Arial" w:cs="Arial"/>
        </w:rPr>
        <w:t xml:space="preserve"> lifelong learning.</w:t>
      </w:r>
      <w:r w:rsidR="005104BF" w:rsidRPr="004F31AF">
        <w:rPr>
          <w:rFonts w:ascii="Arial" w:hAnsi="Arial" w:cs="Arial"/>
        </w:rPr>
        <w:t xml:space="preserve"> </w:t>
      </w:r>
      <w:r w:rsidR="008D30A8" w:rsidRPr="004F31AF">
        <w:rPr>
          <w:rFonts w:ascii="Arial" w:hAnsi="Arial" w:cs="Arial"/>
        </w:rPr>
        <w:t>E</w:t>
      </w:r>
      <w:r w:rsidR="00760FC0" w:rsidRPr="004F31AF">
        <w:rPr>
          <w:rFonts w:ascii="Arial" w:hAnsi="Arial" w:cs="Arial"/>
        </w:rPr>
        <w:t xml:space="preserve">mphasis </w:t>
      </w:r>
      <w:r w:rsidR="008D30A8" w:rsidRPr="004F31AF">
        <w:rPr>
          <w:rFonts w:ascii="Arial" w:hAnsi="Arial" w:cs="Arial"/>
        </w:rPr>
        <w:t xml:space="preserve">is </w:t>
      </w:r>
      <w:r w:rsidR="00760FC0" w:rsidRPr="004F31AF">
        <w:rPr>
          <w:rFonts w:ascii="Arial" w:hAnsi="Arial" w:cs="Arial"/>
        </w:rPr>
        <w:t>being placed on Continuous Professional Development for both teachers and school leaders</w:t>
      </w:r>
      <w:r w:rsidR="008D30A8" w:rsidRPr="004F31AF">
        <w:rPr>
          <w:rFonts w:ascii="Arial" w:hAnsi="Arial" w:cs="Arial"/>
        </w:rPr>
        <w:t xml:space="preserve"> through the Mauritius Institute of Education.</w:t>
      </w:r>
      <w:r w:rsidR="00760FC0" w:rsidRPr="004F31AF">
        <w:rPr>
          <w:rFonts w:ascii="Arial" w:hAnsi="Arial" w:cs="Arial"/>
        </w:rPr>
        <w:t xml:space="preserve"> The Quality Assurance and Inspectorate Di</w:t>
      </w:r>
      <w:r w:rsidR="00206A67" w:rsidRPr="004F31AF">
        <w:rPr>
          <w:rFonts w:ascii="Arial" w:hAnsi="Arial" w:cs="Arial"/>
        </w:rPr>
        <w:t xml:space="preserve">vision of the Ministry has been reinforced to provide </w:t>
      </w:r>
      <w:r w:rsidR="00760FC0" w:rsidRPr="004F31AF">
        <w:rPr>
          <w:rFonts w:ascii="Arial" w:hAnsi="Arial" w:cs="Arial"/>
        </w:rPr>
        <w:t>guidance and direction</w:t>
      </w:r>
      <w:r w:rsidR="00206A67" w:rsidRPr="004F31AF">
        <w:rPr>
          <w:rFonts w:ascii="Arial" w:hAnsi="Arial" w:cs="Arial"/>
        </w:rPr>
        <w:t xml:space="preserve"> for effective teaching and learning</w:t>
      </w:r>
      <w:r w:rsidR="00760FC0" w:rsidRPr="004F31AF">
        <w:rPr>
          <w:rFonts w:ascii="Arial" w:hAnsi="Arial" w:cs="Arial"/>
        </w:rPr>
        <w:t xml:space="preserve">. </w:t>
      </w:r>
      <w:r w:rsidR="00CA68E2" w:rsidRPr="004F31AF">
        <w:rPr>
          <w:rFonts w:ascii="Arial" w:hAnsi="Arial" w:cs="Arial"/>
        </w:rPr>
        <w:t>Students</w:t>
      </w:r>
      <w:r w:rsidR="005F487A" w:rsidRPr="004F31AF">
        <w:rPr>
          <w:rFonts w:ascii="Arial" w:hAnsi="Arial" w:cs="Arial"/>
        </w:rPr>
        <w:t xml:space="preserve"> </w:t>
      </w:r>
      <w:r w:rsidR="003C3AFA" w:rsidRPr="004F31AF">
        <w:rPr>
          <w:rFonts w:ascii="Arial" w:hAnsi="Arial" w:cs="Arial"/>
        </w:rPr>
        <w:t xml:space="preserve">currently </w:t>
      </w:r>
      <w:r w:rsidR="005F487A" w:rsidRPr="004F31AF">
        <w:rPr>
          <w:rFonts w:ascii="Arial" w:hAnsi="Arial" w:cs="Arial"/>
        </w:rPr>
        <w:t>benefit from full subsidies on School Certificate and Higher Sch</w:t>
      </w:r>
      <w:r w:rsidR="003C3AFA" w:rsidRPr="004F31AF">
        <w:rPr>
          <w:rFonts w:ascii="Arial" w:hAnsi="Arial" w:cs="Arial"/>
        </w:rPr>
        <w:t>ool Certificate examination</w:t>
      </w:r>
      <w:r w:rsidR="00F72B48" w:rsidRPr="004F31AF">
        <w:rPr>
          <w:rFonts w:ascii="Arial" w:hAnsi="Arial" w:cs="Arial"/>
        </w:rPr>
        <w:t xml:space="preserve"> fees. </w:t>
      </w:r>
      <w:r w:rsidR="008D30A8" w:rsidRPr="004F31AF">
        <w:rPr>
          <w:rFonts w:ascii="Arial" w:hAnsi="Arial" w:cs="Arial"/>
        </w:rPr>
        <w:t>New qualifications at secondary level that are more adapted to the world of work, such as the HSC Professional, have also been introduced</w:t>
      </w:r>
      <w:r w:rsidR="002D3E41" w:rsidRPr="004F31AF">
        <w:rPr>
          <w:rFonts w:ascii="Arial" w:hAnsi="Arial" w:cs="Arial"/>
        </w:rPr>
        <w:t>.</w:t>
      </w:r>
    </w:p>
    <w:p w:rsidR="004E1204" w:rsidRPr="004F31AF" w:rsidRDefault="004E1204" w:rsidP="00513B1B">
      <w:pPr>
        <w:jc w:val="both"/>
        <w:rPr>
          <w:rFonts w:ascii="Arial" w:hAnsi="Arial" w:cs="Arial"/>
        </w:rPr>
      </w:pPr>
      <w:r w:rsidRPr="004F31AF">
        <w:rPr>
          <w:rFonts w:ascii="Arial" w:hAnsi="Arial" w:cs="Arial"/>
          <w:b/>
        </w:rPr>
        <w:t xml:space="preserve">Higher Education and </w:t>
      </w:r>
      <w:r w:rsidR="00711316" w:rsidRPr="004F31AF">
        <w:rPr>
          <w:rFonts w:ascii="Arial" w:hAnsi="Arial" w:cs="Arial"/>
          <w:b/>
        </w:rPr>
        <w:t>TVET</w:t>
      </w:r>
      <w:r w:rsidR="00D103B6" w:rsidRPr="004F31AF">
        <w:rPr>
          <w:rFonts w:ascii="Arial" w:hAnsi="Arial" w:cs="Arial"/>
          <w:b/>
        </w:rPr>
        <w:t xml:space="preserve">– </w:t>
      </w:r>
      <w:r w:rsidR="00337E47" w:rsidRPr="004F31AF">
        <w:rPr>
          <w:rFonts w:ascii="Arial" w:hAnsi="Arial" w:cs="Arial"/>
        </w:rPr>
        <w:t>Higher Education</w:t>
      </w:r>
      <w:r w:rsidR="00B44DE7" w:rsidRPr="004F31AF">
        <w:rPr>
          <w:rFonts w:ascii="Arial" w:hAnsi="Arial" w:cs="Arial"/>
        </w:rPr>
        <w:t xml:space="preserve"> is</w:t>
      </w:r>
      <w:r w:rsidR="00D103B6" w:rsidRPr="004F31AF">
        <w:rPr>
          <w:rFonts w:ascii="Arial" w:hAnsi="Arial" w:cs="Arial"/>
        </w:rPr>
        <w:t xml:space="preserve"> a strong pillar for robust </w:t>
      </w:r>
      <w:r w:rsidR="00B44DE7" w:rsidRPr="004F31AF">
        <w:rPr>
          <w:rFonts w:ascii="Arial" w:hAnsi="Arial" w:cs="Arial"/>
        </w:rPr>
        <w:t xml:space="preserve">economic </w:t>
      </w:r>
      <w:r w:rsidR="00D103B6" w:rsidRPr="004F31AF">
        <w:rPr>
          <w:rFonts w:ascii="Arial" w:hAnsi="Arial" w:cs="Arial"/>
        </w:rPr>
        <w:t>growth</w:t>
      </w:r>
      <w:r w:rsidR="002D3E41" w:rsidRPr="004F31AF">
        <w:rPr>
          <w:rFonts w:ascii="Arial" w:hAnsi="Arial" w:cs="Arial"/>
        </w:rPr>
        <w:t xml:space="preserve"> in the light of the new development trajectory of the country based on knowledge and an economy oriented towards high end services sector</w:t>
      </w:r>
      <w:r w:rsidR="00D103B6" w:rsidRPr="004F31AF">
        <w:rPr>
          <w:rFonts w:ascii="Arial" w:hAnsi="Arial" w:cs="Arial"/>
        </w:rPr>
        <w:t xml:space="preserve">. A Higher Education Bill is in the </w:t>
      </w:r>
      <w:r w:rsidR="002D3E41" w:rsidRPr="004F31AF">
        <w:rPr>
          <w:rFonts w:ascii="Arial" w:hAnsi="Arial" w:cs="Arial"/>
        </w:rPr>
        <w:t>final stages of drafting to</w:t>
      </w:r>
      <w:r w:rsidR="00B44DE7" w:rsidRPr="004F31AF">
        <w:rPr>
          <w:rFonts w:ascii="Arial" w:hAnsi="Arial" w:cs="Arial"/>
        </w:rPr>
        <w:t xml:space="preserve"> </w:t>
      </w:r>
      <w:r w:rsidR="00D103B6" w:rsidRPr="004F31AF">
        <w:rPr>
          <w:rFonts w:ascii="Arial" w:hAnsi="Arial" w:cs="Arial"/>
        </w:rPr>
        <w:t xml:space="preserve">act as an enabler for the </w:t>
      </w:r>
      <w:r w:rsidR="002D3E41" w:rsidRPr="004F31AF">
        <w:rPr>
          <w:rFonts w:ascii="Arial" w:hAnsi="Arial" w:cs="Arial"/>
        </w:rPr>
        <w:t xml:space="preserve">consolidation of the regulation of the sector and the </w:t>
      </w:r>
      <w:r w:rsidR="00D103B6" w:rsidRPr="004F31AF">
        <w:rPr>
          <w:rFonts w:ascii="Arial" w:hAnsi="Arial" w:cs="Arial"/>
        </w:rPr>
        <w:t xml:space="preserve">emergence of Mauritius as a Regional </w:t>
      </w:r>
      <w:r w:rsidR="00513B1B" w:rsidRPr="004F31AF">
        <w:rPr>
          <w:rFonts w:ascii="Arial" w:hAnsi="Arial" w:cs="Arial"/>
        </w:rPr>
        <w:t>Knowledge</w:t>
      </w:r>
      <w:r w:rsidR="00D103B6" w:rsidRPr="004F31AF">
        <w:rPr>
          <w:rFonts w:ascii="Arial" w:hAnsi="Arial" w:cs="Arial"/>
        </w:rPr>
        <w:t xml:space="preserve"> Hub</w:t>
      </w:r>
      <w:r w:rsidR="00DB77CE" w:rsidRPr="004F31AF">
        <w:rPr>
          <w:rFonts w:ascii="Arial" w:hAnsi="Arial" w:cs="Arial"/>
        </w:rPr>
        <w:t xml:space="preserve">. </w:t>
      </w:r>
      <w:r w:rsidR="008B1A9B" w:rsidRPr="004F31AF">
        <w:rPr>
          <w:rFonts w:ascii="Arial" w:hAnsi="Arial" w:cs="Arial"/>
        </w:rPr>
        <w:t>There are also strong support mechanisms to enable both bright and needy students to engage in higher education through scholarship schemes</w:t>
      </w:r>
      <w:r w:rsidR="002D3E41" w:rsidRPr="004F31AF">
        <w:rPr>
          <w:rFonts w:ascii="Arial" w:hAnsi="Arial" w:cs="Arial"/>
        </w:rPr>
        <w:t xml:space="preserve"> with a new scheme for disabled students to study at tertiary level being put in place</w:t>
      </w:r>
      <w:r w:rsidR="008B1A9B" w:rsidRPr="004F31AF">
        <w:rPr>
          <w:rFonts w:ascii="Arial" w:hAnsi="Arial" w:cs="Arial"/>
        </w:rPr>
        <w:t xml:space="preserve">. </w:t>
      </w:r>
      <w:r w:rsidR="007E5462" w:rsidRPr="004F31AF">
        <w:rPr>
          <w:rFonts w:ascii="Arial" w:hAnsi="Arial" w:cs="Arial"/>
        </w:rPr>
        <w:t>The higher education sector is regulated by a Tertiary Education Commission</w:t>
      </w:r>
      <w:r w:rsidR="00B03AA5" w:rsidRPr="004F31AF">
        <w:rPr>
          <w:rFonts w:ascii="Arial" w:hAnsi="Arial" w:cs="Arial"/>
        </w:rPr>
        <w:t xml:space="preserve"> (TEC)</w:t>
      </w:r>
      <w:r w:rsidR="007E5462" w:rsidRPr="004F31AF">
        <w:rPr>
          <w:rFonts w:ascii="Arial" w:hAnsi="Arial" w:cs="Arial"/>
        </w:rPr>
        <w:t xml:space="preserve">. </w:t>
      </w:r>
      <w:r w:rsidRPr="004F31AF">
        <w:rPr>
          <w:rFonts w:ascii="Arial" w:hAnsi="Arial" w:cs="Arial"/>
        </w:rPr>
        <w:t xml:space="preserve">The </w:t>
      </w:r>
      <w:r w:rsidR="00D103B6" w:rsidRPr="004F31AF">
        <w:rPr>
          <w:rFonts w:ascii="Arial" w:hAnsi="Arial" w:cs="Arial"/>
        </w:rPr>
        <w:t xml:space="preserve">TVET sub-sector </w:t>
      </w:r>
      <w:r w:rsidRPr="004F31AF">
        <w:rPr>
          <w:rFonts w:ascii="Arial" w:hAnsi="Arial" w:cs="Arial"/>
        </w:rPr>
        <w:t>is</w:t>
      </w:r>
      <w:r w:rsidR="00337E47" w:rsidRPr="004F31AF">
        <w:rPr>
          <w:rFonts w:ascii="Arial" w:hAnsi="Arial" w:cs="Arial"/>
        </w:rPr>
        <w:t xml:space="preserve"> </w:t>
      </w:r>
      <w:r w:rsidR="00DB77CE" w:rsidRPr="004F31AF">
        <w:rPr>
          <w:rFonts w:ascii="Arial" w:hAnsi="Arial" w:cs="Arial"/>
        </w:rPr>
        <w:t xml:space="preserve">being </w:t>
      </w:r>
      <w:r w:rsidR="007E5462" w:rsidRPr="004F31AF">
        <w:rPr>
          <w:rFonts w:ascii="Arial" w:hAnsi="Arial" w:cs="Arial"/>
        </w:rPr>
        <w:t>reformed to provide a more attractive avenue for students after secondary education with greater emphasis on improving the quality and relevance of training while improving access. C</w:t>
      </w:r>
      <w:r w:rsidR="00DB77CE" w:rsidRPr="004F31AF">
        <w:rPr>
          <w:rFonts w:ascii="Arial" w:hAnsi="Arial" w:cs="Arial"/>
        </w:rPr>
        <w:t>oncurrently</w:t>
      </w:r>
      <w:r w:rsidR="007E5462" w:rsidRPr="004F31AF">
        <w:rPr>
          <w:rFonts w:ascii="Arial" w:hAnsi="Arial" w:cs="Arial"/>
        </w:rPr>
        <w:t>, it is being</w:t>
      </w:r>
      <w:r w:rsidR="00DB77CE" w:rsidRPr="004F31AF">
        <w:rPr>
          <w:rFonts w:ascii="Arial" w:hAnsi="Arial" w:cs="Arial"/>
        </w:rPr>
        <w:t xml:space="preserve"> </w:t>
      </w:r>
      <w:r w:rsidR="00C72418" w:rsidRPr="004F31AF">
        <w:rPr>
          <w:rFonts w:ascii="Arial" w:hAnsi="Arial" w:cs="Arial"/>
        </w:rPr>
        <w:t xml:space="preserve">diversified </w:t>
      </w:r>
      <w:r w:rsidRPr="004F31AF">
        <w:rPr>
          <w:rFonts w:ascii="Arial" w:hAnsi="Arial" w:cs="Arial"/>
        </w:rPr>
        <w:t xml:space="preserve">with </w:t>
      </w:r>
      <w:r w:rsidR="00DB77CE" w:rsidRPr="004F31AF">
        <w:rPr>
          <w:rFonts w:ascii="Arial" w:hAnsi="Arial" w:cs="Arial"/>
        </w:rPr>
        <w:t xml:space="preserve">the setting up of Polytechnics and </w:t>
      </w:r>
      <w:r w:rsidR="00874976" w:rsidRPr="004F31AF">
        <w:rPr>
          <w:rFonts w:ascii="Arial" w:hAnsi="Arial" w:cs="Arial"/>
        </w:rPr>
        <w:t xml:space="preserve">the </w:t>
      </w:r>
      <w:r w:rsidR="00DB77CE" w:rsidRPr="004F31AF">
        <w:rPr>
          <w:rFonts w:ascii="Arial" w:hAnsi="Arial" w:cs="Arial"/>
        </w:rPr>
        <w:t xml:space="preserve">establishment of alternative pathways for further </w:t>
      </w:r>
      <w:r w:rsidR="004E14B2" w:rsidRPr="004F31AF">
        <w:rPr>
          <w:rFonts w:ascii="Arial" w:hAnsi="Arial" w:cs="Arial"/>
        </w:rPr>
        <w:t xml:space="preserve">education. </w:t>
      </w:r>
      <w:r w:rsidR="002D3E41" w:rsidRPr="004F31AF">
        <w:rPr>
          <w:rFonts w:ascii="Arial" w:hAnsi="Arial" w:cs="Arial"/>
        </w:rPr>
        <w:t>The Mauritius Qualifications Authority has been</w:t>
      </w:r>
      <w:r w:rsidR="008B1A9B" w:rsidRPr="004F31AF">
        <w:rPr>
          <w:rFonts w:ascii="Arial" w:hAnsi="Arial" w:cs="Arial"/>
        </w:rPr>
        <w:t xml:space="preserve"> entrusted </w:t>
      </w:r>
      <w:r w:rsidR="002D3E41" w:rsidRPr="004F31AF">
        <w:rPr>
          <w:rFonts w:ascii="Arial" w:hAnsi="Arial" w:cs="Arial"/>
        </w:rPr>
        <w:t xml:space="preserve">with the </w:t>
      </w:r>
      <w:r w:rsidR="008B1A9B" w:rsidRPr="004F31AF">
        <w:rPr>
          <w:rFonts w:ascii="Arial" w:hAnsi="Arial" w:cs="Arial"/>
        </w:rPr>
        <w:t xml:space="preserve">responsibility </w:t>
      </w:r>
      <w:r w:rsidR="00E87020" w:rsidRPr="004F31AF">
        <w:rPr>
          <w:rFonts w:ascii="Arial" w:hAnsi="Arial" w:cs="Arial"/>
        </w:rPr>
        <w:t xml:space="preserve">of managing the National Qualifications Framework. It also </w:t>
      </w:r>
      <w:r w:rsidR="008B1A9B" w:rsidRPr="004F31AF">
        <w:rPr>
          <w:rFonts w:ascii="Arial" w:hAnsi="Arial" w:cs="Arial"/>
        </w:rPr>
        <w:t>register</w:t>
      </w:r>
      <w:r w:rsidR="00E87020" w:rsidRPr="004F31AF">
        <w:rPr>
          <w:rFonts w:ascii="Arial" w:hAnsi="Arial" w:cs="Arial"/>
        </w:rPr>
        <w:t>s</w:t>
      </w:r>
      <w:r w:rsidR="008B1A9B" w:rsidRPr="004F31AF">
        <w:rPr>
          <w:rFonts w:ascii="Arial" w:hAnsi="Arial" w:cs="Arial"/>
        </w:rPr>
        <w:t xml:space="preserve"> and accred</w:t>
      </w:r>
      <w:r w:rsidR="002D3E41" w:rsidRPr="004F31AF">
        <w:rPr>
          <w:rFonts w:ascii="Arial" w:hAnsi="Arial" w:cs="Arial"/>
        </w:rPr>
        <w:t>it</w:t>
      </w:r>
      <w:r w:rsidR="00E87020" w:rsidRPr="004F31AF">
        <w:rPr>
          <w:rFonts w:ascii="Arial" w:hAnsi="Arial" w:cs="Arial"/>
        </w:rPr>
        <w:t>s</w:t>
      </w:r>
      <w:r w:rsidR="002D3E41" w:rsidRPr="004F31AF">
        <w:rPr>
          <w:rFonts w:ascii="Arial" w:hAnsi="Arial" w:cs="Arial"/>
        </w:rPr>
        <w:t xml:space="preserve"> TVET providers in Mauritius, and </w:t>
      </w:r>
      <w:r w:rsidR="008B1A9B" w:rsidRPr="004F31AF">
        <w:rPr>
          <w:rFonts w:ascii="Arial" w:hAnsi="Arial" w:cs="Arial"/>
        </w:rPr>
        <w:t>has the mandate to recognize and validate competencies which ha</w:t>
      </w:r>
      <w:r w:rsidR="001F0479" w:rsidRPr="004F31AF">
        <w:rPr>
          <w:rFonts w:ascii="Arial" w:hAnsi="Arial" w:cs="Arial"/>
        </w:rPr>
        <w:t>ve</w:t>
      </w:r>
      <w:r w:rsidR="008B1A9B" w:rsidRPr="004F31AF">
        <w:rPr>
          <w:rFonts w:ascii="Arial" w:hAnsi="Arial" w:cs="Arial"/>
        </w:rPr>
        <w:t xml:space="preserve"> been obtained outside the formal education and training system for certification </w:t>
      </w:r>
      <w:r w:rsidR="002D3E41" w:rsidRPr="004F31AF">
        <w:rPr>
          <w:rFonts w:ascii="Arial" w:hAnsi="Arial" w:cs="Arial"/>
        </w:rPr>
        <w:t xml:space="preserve">and equivalence </w:t>
      </w:r>
      <w:r w:rsidR="008B1A9B" w:rsidRPr="004F31AF">
        <w:rPr>
          <w:rFonts w:ascii="Arial" w:hAnsi="Arial" w:cs="Arial"/>
        </w:rPr>
        <w:t>purposes</w:t>
      </w:r>
      <w:r w:rsidR="002D3E41" w:rsidRPr="004F31AF">
        <w:rPr>
          <w:rFonts w:ascii="Arial" w:hAnsi="Arial" w:cs="Arial"/>
        </w:rPr>
        <w:t>, including mechanisms for Recognition of Prior Learning</w:t>
      </w:r>
      <w:r w:rsidR="008B1A9B" w:rsidRPr="004F31AF">
        <w:rPr>
          <w:rFonts w:ascii="Arial" w:hAnsi="Arial" w:cs="Arial"/>
        </w:rPr>
        <w:t>.</w:t>
      </w:r>
    </w:p>
    <w:p w:rsidR="000A254C" w:rsidRPr="004F31AF" w:rsidRDefault="008A43E5" w:rsidP="00513B1B">
      <w:pPr>
        <w:jc w:val="both"/>
        <w:rPr>
          <w:rFonts w:ascii="Arial" w:hAnsi="Arial" w:cs="Arial"/>
          <w:b/>
          <w:bCs/>
        </w:rPr>
      </w:pPr>
      <w:r w:rsidRPr="004F31AF">
        <w:rPr>
          <w:rFonts w:ascii="Arial" w:hAnsi="Arial" w:cs="Arial"/>
          <w:b/>
        </w:rPr>
        <w:t>Science, Technology</w:t>
      </w:r>
      <w:r w:rsidR="00711316" w:rsidRPr="004F31AF">
        <w:rPr>
          <w:rFonts w:ascii="Arial" w:hAnsi="Arial" w:cs="Arial"/>
          <w:b/>
        </w:rPr>
        <w:t xml:space="preserve"> and Innovation and Youth</w:t>
      </w:r>
      <w:r w:rsidR="00337E47" w:rsidRPr="004F31AF">
        <w:rPr>
          <w:rFonts w:ascii="Arial" w:hAnsi="Arial" w:cs="Arial"/>
          <w:b/>
        </w:rPr>
        <w:t xml:space="preserve"> </w:t>
      </w:r>
      <w:r w:rsidR="00DB77CE" w:rsidRPr="004F31AF">
        <w:rPr>
          <w:rFonts w:ascii="Arial" w:hAnsi="Arial" w:cs="Arial"/>
          <w:b/>
        </w:rPr>
        <w:t>–</w:t>
      </w:r>
      <w:r w:rsidR="00337E47" w:rsidRPr="004F31AF">
        <w:rPr>
          <w:rFonts w:ascii="Arial" w:hAnsi="Arial" w:cs="Arial"/>
          <w:b/>
        </w:rPr>
        <w:t xml:space="preserve"> </w:t>
      </w:r>
      <w:r w:rsidR="00DB77CE" w:rsidRPr="004F31AF">
        <w:rPr>
          <w:rFonts w:ascii="Arial" w:hAnsi="Arial" w:cs="Arial"/>
        </w:rPr>
        <w:t>The main aim in this area remains to extend the frontiers of knowledge for professional and national advancement</w:t>
      </w:r>
      <w:r w:rsidR="00DB77CE" w:rsidRPr="004F31AF">
        <w:rPr>
          <w:rFonts w:ascii="Arial" w:hAnsi="Arial" w:cs="Arial"/>
          <w:b/>
        </w:rPr>
        <w:t xml:space="preserve">. </w:t>
      </w:r>
      <w:r w:rsidR="001647BA" w:rsidRPr="004F31AF">
        <w:rPr>
          <w:rFonts w:ascii="Arial" w:hAnsi="Arial" w:cs="Arial"/>
        </w:rPr>
        <w:t>S</w:t>
      </w:r>
      <w:r w:rsidR="00451D39" w:rsidRPr="004F31AF">
        <w:rPr>
          <w:rFonts w:ascii="Arial" w:hAnsi="Arial" w:cs="Arial"/>
        </w:rPr>
        <w:t>everal measures</w:t>
      </w:r>
      <w:r w:rsidR="00337E47" w:rsidRPr="004F31AF">
        <w:rPr>
          <w:rFonts w:ascii="Arial" w:hAnsi="Arial" w:cs="Arial"/>
        </w:rPr>
        <w:t xml:space="preserve"> </w:t>
      </w:r>
      <w:r w:rsidR="00451D39" w:rsidRPr="004F31AF">
        <w:rPr>
          <w:rFonts w:ascii="Arial" w:hAnsi="Arial" w:cs="Arial"/>
        </w:rPr>
        <w:t xml:space="preserve">to boost </w:t>
      </w:r>
      <w:r w:rsidR="00FE6BE1" w:rsidRPr="004F31AF">
        <w:rPr>
          <w:rFonts w:ascii="Arial" w:hAnsi="Arial" w:cs="Arial"/>
        </w:rPr>
        <w:t>applied research</w:t>
      </w:r>
      <w:r w:rsidR="00A33551" w:rsidRPr="004F31AF">
        <w:rPr>
          <w:rFonts w:ascii="Arial" w:hAnsi="Arial" w:cs="Arial"/>
        </w:rPr>
        <w:t xml:space="preserve"> are being implemented</w:t>
      </w:r>
      <w:r w:rsidR="00451D39" w:rsidRPr="004F31AF">
        <w:rPr>
          <w:rFonts w:ascii="Arial" w:hAnsi="Arial" w:cs="Arial"/>
        </w:rPr>
        <w:t xml:space="preserve"> </w:t>
      </w:r>
      <w:r w:rsidR="00FE6BE1" w:rsidRPr="004F31AF">
        <w:rPr>
          <w:rFonts w:ascii="Arial" w:hAnsi="Arial" w:cs="Arial"/>
        </w:rPr>
        <w:t xml:space="preserve">through the Mauritius Research Council </w:t>
      </w:r>
      <w:r w:rsidR="009E7505" w:rsidRPr="004F31AF">
        <w:rPr>
          <w:rFonts w:ascii="Arial" w:hAnsi="Arial" w:cs="Arial"/>
        </w:rPr>
        <w:t xml:space="preserve">(MRC) </w:t>
      </w:r>
      <w:r w:rsidR="00451D39" w:rsidRPr="004F31AF">
        <w:rPr>
          <w:rFonts w:ascii="Arial" w:hAnsi="Arial" w:cs="Arial"/>
        </w:rPr>
        <w:t xml:space="preserve">to </w:t>
      </w:r>
      <w:r w:rsidR="00A33551" w:rsidRPr="004F31AF">
        <w:rPr>
          <w:rFonts w:ascii="Arial" w:hAnsi="Arial" w:cs="Arial"/>
        </w:rPr>
        <w:t>trigger</w:t>
      </w:r>
      <w:r w:rsidR="00FE6BE1" w:rsidRPr="004F31AF">
        <w:rPr>
          <w:rFonts w:ascii="Arial" w:hAnsi="Arial" w:cs="Arial"/>
        </w:rPr>
        <w:t xml:space="preserve"> innovation</w:t>
      </w:r>
      <w:r w:rsidR="00451D39" w:rsidRPr="004F31AF">
        <w:rPr>
          <w:rFonts w:ascii="Arial" w:hAnsi="Arial" w:cs="Arial"/>
        </w:rPr>
        <w:t xml:space="preserve"> and </w:t>
      </w:r>
      <w:r w:rsidR="005F3536" w:rsidRPr="004F31AF">
        <w:rPr>
          <w:rFonts w:ascii="Arial" w:hAnsi="Arial" w:cs="Arial"/>
        </w:rPr>
        <w:t xml:space="preserve">to </w:t>
      </w:r>
      <w:r w:rsidR="00451D39" w:rsidRPr="004F31AF">
        <w:rPr>
          <w:rFonts w:ascii="Arial" w:hAnsi="Arial" w:cs="Arial"/>
        </w:rPr>
        <w:t>impro</w:t>
      </w:r>
      <w:r w:rsidR="00A33551" w:rsidRPr="004F31AF">
        <w:rPr>
          <w:rFonts w:ascii="Arial" w:hAnsi="Arial" w:cs="Arial"/>
        </w:rPr>
        <w:t>ve the long-term</w:t>
      </w:r>
      <w:r w:rsidR="00451D39" w:rsidRPr="004F31AF">
        <w:rPr>
          <w:rFonts w:ascii="Arial" w:hAnsi="Arial" w:cs="Arial"/>
        </w:rPr>
        <w:t xml:space="preserve"> growth prospects</w:t>
      </w:r>
      <w:r w:rsidR="00FE6BE1" w:rsidRPr="004F31AF">
        <w:rPr>
          <w:rFonts w:ascii="Arial" w:hAnsi="Arial" w:cs="Arial"/>
        </w:rPr>
        <w:t xml:space="preserve"> for </w:t>
      </w:r>
      <w:r w:rsidR="001647BA" w:rsidRPr="004F31AF">
        <w:rPr>
          <w:rFonts w:ascii="Arial" w:hAnsi="Arial" w:cs="Arial"/>
        </w:rPr>
        <w:t>Mauritius</w:t>
      </w:r>
      <w:r w:rsidR="00FE6BE1" w:rsidRPr="004F31AF">
        <w:rPr>
          <w:rFonts w:ascii="Arial" w:hAnsi="Arial" w:cs="Arial"/>
        </w:rPr>
        <w:t xml:space="preserve"> through application</w:t>
      </w:r>
      <w:r w:rsidR="005F3536" w:rsidRPr="004F31AF">
        <w:rPr>
          <w:rFonts w:ascii="Arial" w:hAnsi="Arial" w:cs="Arial"/>
        </w:rPr>
        <w:t>s</w:t>
      </w:r>
      <w:r w:rsidR="00FE6BE1" w:rsidRPr="004F31AF">
        <w:rPr>
          <w:rFonts w:ascii="Arial" w:hAnsi="Arial" w:cs="Arial"/>
        </w:rPr>
        <w:t xml:space="preserve"> in </w:t>
      </w:r>
      <w:r w:rsidR="008748D1" w:rsidRPr="004F31AF">
        <w:rPr>
          <w:rFonts w:ascii="Arial" w:hAnsi="Arial" w:cs="Arial"/>
        </w:rPr>
        <w:t>Science, Technology, Engineering and Mathematics (</w:t>
      </w:r>
      <w:r w:rsidR="00FE6BE1" w:rsidRPr="004F31AF">
        <w:rPr>
          <w:rFonts w:ascii="Arial" w:hAnsi="Arial" w:cs="Arial"/>
        </w:rPr>
        <w:t>STEM</w:t>
      </w:r>
      <w:r w:rsidR="008748D1" w:rsidRPr="004F31AF">
        <w:rPr>
          <w:rFonts w:ascii="Arial" w:hAnsi="Arial" w:cs="Arial"/>
        </w:rPr>
        <w:t>)</w:t>
      </w:r>
      <w:r w:rsidR="00FE6BE1" w:rsidRPr="004F31AF">
        <w:rPr>
          <w:rFonts w:ascii="Arial" w:hAnsi="Arial" w:cs="Arial"/>
        </w:rPr>
        <w:t>.</w:t>
      </w:r>
      <w:r w:rsidR="009E7505" w:rsidRPr="004F31AF">
        <w:rPr>
          <w:rFonts w:ascii="Arial" w:hAnsi="Arial" w:cs="Arial"/>
        </w:rPr>
        <w:t xml:space="preserve"> </w:t>
      </w:r>
      <w:r w:rsidR="00D3584A" w:rsidRPr="004F31AF">
        <w:rPr>
          <w:rFonts w:ascii="Arial" w:hAnsi="Arial" w:cs="Arial"/>
        </w:rPr>
        <w:t>Fellowship</w:t>
      </w:r>
      <w:r w:rsidR="009E7505" w:rsidRPr="004F31AF">
        <w:rPr>
          <w:rFonts w:ascii="Arial" w:hAnsi="Arial" w:cs="Arial"/>
        </w:rPr>
        <w:t xml:space="preserve">s for </w:t>
      </w:r>
      <w:r w:rsidR="008748D1" w:rsidRPr="004F31AF">
        <w:rPr>
          <w:rFonts w:ascii="Arial" w:hAnsi="Arial" w:cs="Arial"/>
        </w:rPr>
        <w:t xml:space="preserve">full time and </w:t>
      </w:r>
      <w:r w:rsidR="009E7505" w:rsidRPr="004F31AF">
        <w:rPr>
          <w:rFonts w:ascii="Arial" w:hAnsi="Arial" w:cs="Arial"/>
        </w:rPr>
        <w:t xml:space="preserve">part-time studies at MPhil/PhD levels are offered each year by the MRC and the </w:t>
      </w:r>
      <w:r w:rsidR="00B03AA5" w:rsidRPr="004F31AF">
        <w:rPr>
          <w:rFonts w:ascii="Arial" w:hAnsi="Arial" w:cs="Arial"/>
        </w:rPr>
        <w:t>TEC</w:t>
      </w:r>
      <w:r w:rsidR="005F3536" w:rsidRPr="004F31AF">
        <w:rPr>
          <w:rFonts w:ascii="Arial" w:hAnsi="Arial" w:cs="Arial"/>
        </w:rPr>
        <w:t xml:space="preserve"> and the Rajiv Gandhi Science Centre promotes education and interest in Science, Technology and Innovation, particularly among the youth</w:t>
      </w:r>
      <w:r w:rsidR="009E7505" w:rsidRPr="004F31AF">
        <w:rPr>
          <w:rFonts w:ascii="Arial" w:hAnsi="Arial" w:cs="Arial"/>
        </w:rPr>
        <w:t xml:space="preserve">. </w:t>
      </w:r>
      <w:r w:rsidR="00181C6B" w:rsidRPr="004F31AF">
        <w:rPr>
          <w:rFonts w:ascii="Arial" w:hAnsi="Arial" w:cs="Arial"/>
        </w:rPr>
        <w:t>Furthermore, t</w:t>
      </w:r>
      <w:r w:rsidR="009E7505" w:rsidRPr="004F31AF">
        <w:rPr>
          <w:rFonts w:ascii="Arial" w:hAnsi="Arial" w:cs="Arial"/>
        </w:rPr>
        <w:t xml:space="preserve">o promote </w:t>
      </w:r>
      <w:r w:rsidR="009A5BB5" w:rsidRPr="004F31AF">
        <w:rPr>
          <w:rFonts w:ascii="Arial" w:hAnsi="Arial" w:cs="Arial"/>
        </w:rPr>
        <w:t xml:space="preserve">capacity-building </w:t>
      </w:r>
      <w:r w:rsidR="009E7505" w:rsidRPr="004F31AF">
        <w:rPr>
          <w:rFonts w:ascii="Arial" w:hAnsi="Arial" w:cs="Arial"/>
        </w:rPr>
        <w:t xml:space="preserve">across </w:t>
      </w:r>
      <w:r w:rsidR="00131055" w:rsidRPr="004F31AF">
        <w:rPr>
          <w:rFonts w:ascii="Arial" w:hAnsi="Arial" w:cs="Arial"/>
        </w:rPr>
        <w:t xml:space="preserve">Africa, the Ministry </w:t>
      </w:r>
      <w:r w:rsidR="009E7505" w:rsidRPr="004F31AF">
        <w:rPr>
          <w:rFonts w:ascii="Arial" w:hAnsi="Arial" w:cs="Arial"/>
        </w:rPr>
        <w:t>award</w:t>
      </w:r>
      <w:r w:rsidR="00131055" w:rsidRPr="004F31AF">
        <w:rPr>
          <w:rFonts w:ascii="Arial" w:hAnsi="Arial" w:cs="Arial"/>
        </w:rPr>
        <w:t xml:space="preserve">s </w:t>
      </w:r>
      <w:r w:rsidR="009E7505" w:rsidRPr="004F31AF">
        <w:rPr>
          <w:rFonts w:ascii="Arial" w:hAnsi="Arial" w:cs="Arial"/>
        </w:rPr>
        <w:t xml:space="preserve">scholarships </w:t>
      </w:r>
      <w:r w:rsidR="000E1085" w:rsidRPr="004F31AF">
        <w:rPr>
          <w:rFonts w:ascii="Arial" w:hAnsi="Arial" w:cs="Arial"/>
        </w:rPr>
        <w:t xml:space="preserve">every year </w:t>
      </w:r>
      <w:r w:rsidR="009E7505" w:rsidRPr="004F31AF">
        <w:rPr>
          <w:rFonts w:ascii="Arial" w:hAnsi="Arial" w:cs="Arial"/>
        </w:rPr>
        <w:t>to deserving students who are resident citizens of member states of the African Union</w:t>
      </w:r>
      <w:r w:rsidR="00715A63" w:rsidRPr="004F31AF">
        <w:rPr>
          <w:rFonts w:ascii="Arial" w:hAnsi="Arial" w:cs="Arial"/>
        </w:rPr>
        <w:t xml:space="preserve"> to pursue</w:t>
      </w:r>
      <w:r w:rsidR="009A5BB5" w:rsidRPr="004F31AF">
        <w:rPr>
          <w:rFonts w:ascii="Arial" w:hAnsi="Arial" w:cs="Arial"/>
        </w:rPr>
        <w:t xml:space="preserve"> their </w:t>
      </w:r>
      <w:r w:rsidR="003251E0" w:rsidRPr="004F31AF">
        <w:rPr>
          <w:rFonts w:ascii="Arial" w:hAnsi="Arial" w:cs="Arial"/>
        </w:rPr>
        <w:t>undergraduate studies</w:t>
      </w:r>
      <w:r w:rsidR="009A5BB5" w:rsidRPr="004F31AF">
        <w:rPr>
          <w:rFonts w:ascii="Arial" w:hAnsi="Arial" w:cs="Arial"/>
        </w:rPr>
        <w:t xml:space="preserve"> </w:t>
      </w:r>
      <w:r w:rsidR="00715A63" w:rsidRPr="004F31AF">
        <w:rPr>
          <w:rFonts w:ascii="Arial" w:hAnsi="Arial" w:cs="Arial"/>
        </w:rPr>
        <w:t>in Mauritius</w:t>
      </w:r>
      <w:r w:rsidR="000E1085" w:rsidRPr="004F31AF">
        <w:rPr>
          <w:rFonts w:ascii="Arial" w:hAnsi="Arial" w:cs="Arial"/>
        </w:rPr>
        <w:t xml:space="preserve"> (Mauritius-Africa Scholarship Scheme)</w:t>
      </w:r>
      <w:r w:rsidR="009E7505" w:rsidRPr="004F31AF">
        <w:rPr>
          <w:rFonts w:ascii="Arial" w:hAnsi="Arial" w:cs="Arial"/>
        </w:rPr>
        <w:t>.</w:t>
      </w:r>
      <w:r w:rsidR="00E447F1" w:rsidRPr="004F31AF">
        <w:rPr>
          <w:rFonts w:ascii="Arial" w:hAnsi="Arial" w:cs="Arial"/>
        </w:rPr>
        <w:t xml:space="preserve"> </w:t>
      </w:r>
    </w:p>
    <w:p w:rsidR="000A254C" w:rsidRPr="00FF48AB" w:rsidRDefault="000A254C" w:rsidP="000A254C">
      <w:pPr>
        <w:rPr>
          <w:rFonts w:ascii="Arial" w:hAnsi="Arial" w:cs="Arial"/>
        </w:rPr>
      </w:pPr>
    </w:p>
    <w:p w:rsidR="000A254C" w:rsidRPr="00FF48AB" w:rsidRDefault="000A254C" w:rsidP="000A254C">
      <w:pPr>
        <w:rPr>
          <w:rFonts w:ascii="Arial" w:hAnsi="Arial" w:cs="Arial"/>
        </w:rPr>
      </w:pPr>
    </w:p>
    <w:p w:rsidR="000A254C" w:rsidRPr="00FF48AB" w:rsidRDefault="000A254C" w:rsidP="000A254C">
      <w:pPr>
        <w:rPr>
          <w:rFonts w:ascii="Arial" w:hAnsi="Arial" w:cs="Arial"/>
        </w:rPr>
      </w:pPr>
    </w:p>
    <w:sectPr w:rsidR="000A254C" w:rsidRPr="00FF48AB" w:rsidSect="005104BF">
      <w:pgSz w:w="12240" w:h="15840"/>
      <w:pgMar w:top="28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26D" w:rsidRDefault="00E7426D" w:rsidP="00753DBE">
      <w:pPr>
        <w:spacing w:after="0" w:line="240" w:lineRule="auto"/>
      </w:pPr>
      <w:r>
        <w:separator/>
      </w:r>
    </w:p>
  </w:endnote>
  <w:endnote w:type="continuationSeparator" w:id="0">
    <w:p w:rsidR="00E7426D" w:rsidRDefault="00E7426D" w:rsidP="0075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26D" w:rsidRDefault="00E7426D" w:rsidP="00753DBE">
      <w:pPr>
        <w:spacing w:after="0" w:line="240" w:lineRule="auto"/>
      </w:pPr>
      <w:r>
        <w:separator/>
      </w:r>
    </w:p>
  </w:footnote>
  <w:footnote w:type="continuationSeparator" w:id="0">
    <w:p w:rsidR="00E7426D" w:rsidRDefault="00E7426D" w:rsidP="0075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44BE3"/>
    <w:multiLevelType w:val="hybridMultilevel"/>
    <w:tmpl w:val="F0824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D06CE"/>
    <w:multiLevelType w:val="hybridMultilevel"/>
    <w:tmpl w:val="81AE996E"/>
    <w:lvl w:ilvl="0" w:tplc="147EA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AAA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D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63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47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7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348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44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08F5FBC"/>
    <w:multiLevelType w:val="hybridMultilevel"/>
    <w:tmpl w:val="0B367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C9"/>
    <w:rsid w:val="000027D9"/>
    <w:rsid w:val="00016D90"/>
    <w:rsid w:val="0002517D"/>
    <w:rsid w:val="00051AA8"/>
    <w:rsid w:val="0005514A"/>
    <w:rsid w:val="000942FD"/>
    <w:rsid w:val="000A254C"/>
    <w:rsid w:val="000C14C3"/>
    <w:rsid w:val="000C15FA"/>
    <w:rsid w:val="000D32F3"/>
    <w:rsid w:val="000E1085"/>
    <w:rsid w:val="0011139E"/>
    <w:rsid w:val="001213E3"/>
    <w:rsid w:val="00126F5E"/>
    <w:rsid w:val="00131055"/>
    <w:rsid w:val="00134CB0"/>
    <w:rsid w:val="001647BA"/>
    <w:rsid w:val="00181C6B"/>
    <w:rsid w:val="0019784E"/>
    <w:rsid w:val="001A6A74"/>
    <w:rsid w:val="001D1822"/>
    <w:rsid w:val="001D298E"/>
    <w:rsid w:val="001F0479"/>
    <w:rsid w:val="001F24FE"/>
    <w:rsid w:val="00200851"/>
    <w:rsid w:val="00206A67"/>
    <w:rsid w:val="002268EF"/>
    <w:rsid w:val="00253E65"/>
    <w:rsid w:val="0028137F"/>
    <w:rsid w:val="002D3E41"/>
    <w:rsid w:val="002E0DB5"/>
    <w:rsid w:val="002E24FA"/>
    <w:rsid w:val="002F08E6"/>
    <w:rsid w:val="0030076E"/>
    <w:rsid w:val="00321253"/>
    <w:rsid w:val="00324B87"/>
    <w:rsid w:val="003251E0"/>
    <w:rsid w:val="00337E47"/>
    <w:rsid w:val="003960A8"/>
    <w:rsid w:val="003B205C"/>
    <w:rsid w:val="003B59B1"/>
    <w:rsid w:val="003C3AFA"/>
    <w:rsid w:val="003D5D78"/>
    <w:rsid w:val="003E05A1"/>
    <w:rsid w:val="003E402E"/>
    <w:rsid w:val="003E7DC6"/>
    <w:rsid w:val="00400DFF"/>
    <w:rsid w:val="00451D39"/>
    <w:rsid w:val="00470241"/>
    <w:rsid w:val="00485A24"/>
    <w:rsid w:val="0049148C"/>
    <w:rsid w:val="00495CC1"/>
    <w:rsid w:val="004E1204"/>
    <w:rsid w:val="004E14B2"/>
    <w:rsid w:val="004F31AF"/>
    <w:rsid w:val="005003FB"/>
    <w:rsid w:val="005104BF"/>
    <w:rsid w:val="00513B1B"/>
    <w:rsid w:val="00535C8F"/>
    <w:rsid w:val="005467E6"/>
    <w:rsid w:val="00555C77"/>
    <w:rsid w:val="00565F48"/>
    <w:rsid w:val="005725A2"/>
    <w:rsid w:val="00576A2A"/>
    <w:rsid w:val="005A10EC"/>
    <w:rsid w:val="005B0E76"/>
    <w:rsid w:val="005F3536"/>
    <w:rsid w:val="005F487A"/>
    <w:rsid w:val="005F6D60"/>
    <w:rsid w:val="00613BF1"/>
    <w:rsid w:val="00636507"/>
    <w:rsid w:val="0064618F"/>
    <w:rsid w:val="00671488"/>
    <w:rsid w:val="00685ED2"/>
    <w:rsid w:val="00690EBF"/>
    <w:rsid w:val="006B0912"/>
    <w:rsid w:val="006B4F30"/>
    <w:rsid w:val="006E55DE"/>
    <w:rsid w:val="006E5677"/>
    <w:rsid w:val="00711316"/>
    <w:rsid w:val="00715A63"/>
    <w:rsid w:val="007202E7"/>
    <w:rsid w:val="0072230C"/>
    <w:rsid w:val="00725F8D"/>
    <w:rsid w:val="00735E89"/>
    <w:rsid w:val="00740DA1"/>
    <w:rsid w:val="00745E86"/>
    <w:rsid w:val="007513FD"/>
    <w:rsid w:val="00753DBE"/>
    <w:rsid w:val="00760FC0"/>
    <w:rsid w:val="0076291D"/>
    <w:rsid w:val="007B7716"/>
    <w:rsid w:val="007C10ED"/>
    <w:rsid w:val="007C3B8A"/>
    <w:rsid w:val="007D3C9E"/>
    <w:rsid w:val="007E5462"/>
    <w:rsid w:val="007F0EBA"/>
    <w:rsid w:val="008222BE"/>
    <w:rsid w:val="00823B04"/>
    <w:rsid w:val="00833827"/>
    <w:rsid w:val="00841830"/>
    <w:rsid w:val="008748D1"/>
    <w:rsid w:val="00874976"/>
    <w:rsid w:val="00893AF4"/>
    <w:rsid w:val="008A13EF"/>
    <w:rsid w:val="008A43E5"/>
    <w:rsid w:val="008B1A9B"/>
    <w:rsid w:val="008D30A8"/>
    <w:rsid w:val="008F4028"/>
    <w:rsid w:val="00910DFE"/>
    <w:rsid w:val="00924B1D"/>
    <w:rsid w:val="00942A0F"/>
    <w:rsid w:val="0099112A"/>
    <w:rsid w:val="00993064"/>
    <w:rsid w:val="009A5BB5"/>
    <w:rsid w:val="009A68C9"/>
    <w:rsid w:val="009B76AC"/>
    <w:rsid w:val="009C52F8"/>
    <w:rsid w:val="009C7271"/>
    <w:rsid w:val="009E4808"/>
    <w:rsid w:val="009E7505"/>
    <w:rsid w:val="00A13F5D"/>
    <w:rsid w:val="00A33551"/>
    <w:rsid w:val="00A33E7B"/>
    <w:rsid w:val="00A34C76"/>
    <w:rsid w:val="00A86761"/>
    <w:rsid w:val="00AA0328"/>
    <w:rsid w:val="00AC4D6E"/>
    <w:rsid w:val="00AD094B"/>
    <w:rsid w:val="00AE7D93"/>
    <w:rsid w:val="00B00FCB"/>
    <w:rsid w:val="00B03AA5"/>
    <w:rsid w:val="00B076B1"/>
    <w:rsid w:val="00B44DE7"/>
    <w:rsid w:val="00B5519A"/>
    <w:rsid w:val="00B71346"/>
    <w:rsid w:val="00B7301D"/>
    <w:rsid w:val="00B741B8"/>
    <w:rsid w:val="00B85631"/>
    <w:rsid w:val="00BB5DEF"/>
    <w:rsid w:val="00BC77F2"/>
    <w:rsid w:val="00BD2960"/>
    <w:rsid w:val="00BE277D"/>
    <w:rsid w:val="00BE6FEE"/>
    <w:rsid w:val="00C1088D"/>
    <w:rsid w:val="00C355CB"/>
    <w:rsid w:val="00C4345C"/>
    <w:rsid w:val="00C57668"/>
    <w:rsid w:val="00C605F1"/>
    <w:rsid w:val="00C72418"/>
    <w:rsid w:val="00C77922"/>
    <w:rsid w:val="00C90B30"/>
    <w:rsid w:val="00C95D21"/>
    <w:rsid w:val="00CA68E2"/>
    <w:rsid w:val="00CB6093"/>
    <w:rsid w:val="00CE529D"/>
    <w:rsid w:val="00D03620"/>
    <w:rsid w:val="00D03ACB"/>
    <w:rsid w:val="00D03D9E"/>
    <w:rsid w:val="00D05E83"/>
    <w:rsid w:val="00D103B6"/>
    <w:rsid w:val="00D264CF"/>
    <w:rsid w:val="00D3097D"/>
    <w:rsid w:val="00D3584A"/>
    <w:rsid w:val="00D375D0"/>
    <w:rsid w:val="00D7789E"/>
    <w:rsid w:val="00DB468F"/>
    <w:rsid w:val="00DB77CE"/>
    <w:rsid w:val="00DD5FC7"/>
    <w:rsid w:val="00E154A8"/>
    <w:rsid w:val="00E16245"/>
    <w:rsid w:val="00E24338"/>
    <w:rsid w:val="00E2665C"/>
    <w:rsid w:val="00E447F1"/>
    <w:rsid w:val="00E733AF"/>
    <w:rsid w:val="00E7426D"/>
    <w:rsid w:val="00E87020"/>
    <w:rsid w:val="00EA1B11"/>
    <w:rsid w:val="00ED26F8"/>
    <w:rsid w:val="00F06207"/>
    <w:rsid w:val="00F07FD5"/>
    <w:rsid w:val="00F216FA"/>
    <w:rsid w:val="00F26BA1"/>
    <w:rsid w:val="00F35141"/>
    <w:rsid w:val="00F72B48"/>
    <w:rsid w:val="00F9363B"/>
    <w:rsid w:val="00FC0B81"/>
    <w:rsid w:val="00FE0824"/>
    <w:rsid w:val="00FE6BE1"/>
    <w:rsid w:val="00FF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783110-DAB7-4A36-AD18-D067DD0D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84E"/>
  </w:style>
  <w:style w:type="paragraph" w:styleId="Heading1">
    <w:name w:val="heading 1"/>
    <w:basedOn w:val="Normal"/>
    <w:next w:val="Normal"/>
    <w:link w:val="Heading1Char"/>
    <w:uiPriority w:val="9"/>
    <w:qFormat/>
    <w:rsid w:val="001978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8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8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253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3B2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324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2230C"/>
  </w:style>
  <w:style w:type="character" w:customStyle="1" w:styleId="Heading1Char">
    <w:name w:val="Heading 1 Char"/>
    <w:basedOn w:val="DefaultParagraphFont"/>
    <w:link w:val="Heading1"/>
    <w:uiPriority w:val="9"/>
    <w:rsid w:val="0019784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4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84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84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84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84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84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84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8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978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78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8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8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9784E"/>
    <w:rPr>
      <w:b/>
      <w:bCs/>
    </w:rPr>
  </w:style>
  <w:style w:type="character" w:styleId="Emphasis">
    <w:name w:val="Emphasis"/>
    <w:basedOn w:val="DefaultParagraphFont"/>
    <w:uiPriority w:val="20"/>
    <w:qFormat/>
    <w:rsid w:val="0019784E"/>
    <w:rPr>
      <w:i/>
      <w:iCs/>
    </w:rPr>
  </w:style>
  <w:style w:type="paragraph" w:styleId="NoSpacing">
    <w:name w:val="No Spacing"/>
    <w:uiPriority w:val="1"/>
    <w:qFormat/>
    <w:rsid w:val="001978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78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78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8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8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978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978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978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978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978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84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DBE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3D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3D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3D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25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1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D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AE21-40AA-441D-BC4F-091CA5FC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MoE</dc:creator>
  <cp:lastModifiedBy>Ministry of Education (Tertiary Section)</cp:lastModifiedBy>
  <cp:revision>27</cp:revision>
  <cp:lastPrinted>2016-10-07T05:07:00Z</cp:lastPrinted>
  <dcterms:created xsi:type="dcterms:W3CDTF">2016-09-26T09:43:00Z</dcterms:created>
  <dcterms:modified xsi:type="dcterms:W3CDTF">2016-10-14T05:17:00Z</dcterms:modified>
</cp:coreProperties>
</file>