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6"/>
        <w:gridCol w:w="2259"/>
        <w:gridCol w:w="2265"/>
        <w:gridCol w:w="2206"/>
      </w:tblGrid>
      <w:tr w:rsidR="00477E4E" w:rsidRPr="00BF4666" w14:paraId="14061EB1" w14:textId="77777777" w:rsidTr="002575CA">
        <w:trPr>
          <w:trHeight w:val="576"/>
        </w:trPr>
        <w:tc>
          <w:tcPr>
            <w:tcW w:w="2192" w:type="dxa"/>
            <w:vMerge w:val="restart"/>
            <w:vAlign w:val="center"/>
          </w:tcPr>
          <w:p w14:paraId="57ACD183" w14:textId="77777777" w:rsidR="00477E4E" w:rsidRPr="00BF4666" w:rsidRDefault="00477E4E" w:rsidP="002575CA">
            <w:pPr>
              <w:ind w:left="-90" w:right="-94"/>
              <w:jc w:val="center"/>
              <w:rPr>
                <w:rFonts w:ascii="Arial" w:hAnsi="Arial" w:cs="Arial"/>
                <w:sz w:val="24"/>
                <w:szCs w:val="24"/>
                <w:lang w:val="en-US"/>
              </w:rPr>
            </w:pPr>
            <w:r w:rsidRPr="00BF4666">
              <w:rPr>
                <w:rFonts w:ascii="Arial" w:hAnsi="Arial" w:cs="Arial"/>
                <w:sz w:val="24"/>
                <w:szCs w:val="24"/>
                <w:lang w:val="en-US"/>
              </w:rPr>
              <w:br w:type="page"/>
            </w:r>
            <w:r w:rsidRPr="00BF4666">
              <w:rPr>
                <w:noProof/>
                <w:lang w:val="en-US"/>
              </w:rPr>
              <w:drawing>
                <wp:inline distT="0" distB="0" distL="0" distR="0" wp14:anchorId="3BDEAEE2" wp14:editId="68E7EF70">
                  <wp:extent cx="1371599" cy="791570"/>
                  <wp:effectExtent l="0" t="0" r="63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69875" cy="790575"/>
                          </a:xfrm>
                          <a:prstGeom prst="rect">
                            <a:avLst/>
                          </a:prstGeom>
                        </pic:spPr>
                      </pic:pic>
                    </a:graphicData>
                  </a:graphic>
                </wp:inline>
              </w:drawing>
            </w:r>
          </w:p>
        </w:tc>
        <w:tc>
          <w:tcPr>
            <w:tcW w:w="2452" w:type="dxa"/>
            <w:vAlign w:val="center"/>
          </w:tcPr>
          <w:p w14:paraId="1BEE76F8" w14:textId="77777777" w:rsidR="00477E4E" w:rsidRPr="00BF4666" w:rsidRDefault="00477E4E" w:rsidP="002575CA">
            <w:pPr>
              <w:jc w:val="center"/>
              <w:rPr>
                <w:rFonts w:ascii="Arial" w:hAnsi="Arial" w:cs="Arial"/>
                <w:sz w:val="24"/>
                <w:szCs w:val="24"/>
                <w:lang w:val="en-US"/>
              </w:rPr>
            </w:pPr>
            <w:r w:rsidRPr="00BF4666">
              <w:rPr>
                <w:rFonts w:ascii="Arial" w:hAnsi="Arial" w:cs="Arial"/>
                <w:b/>
                <w:bCs/>
                <w:sz w:val="36"/>
                <w:szCs w:val="36"/>
                <w:lang w:val="en-US"/>
              </w:rPr>
              <w:t>RWANDA</w:t>
            </w:r>
          </w:p>
        </w:tc>
        <w:tc>
          <w:tcPr>
            <w:tcW w:w="2694" w:type="dxa"/>
            <w:vAlign w:val="center"/>
          </w:tcPr>
          <w:p w14:paraId="2656BC8C" w14:textId="77777777" w:rsidR="00477E4E" w:rsidRPr="009D16E6" w:rsidRDefault="00477E4E" w:rsidP="002575CA">
            <w:pPr>
              <w:jc w:val="center"/>
              <w:rPr>
                <w:rFonts w:ascii="Arial" w:hAnsi="Arial" w:cs="Arial"/>
                <w:b/>
                <w:color w:val="FF0000"/>
                <w:lang w:val="en-US"/>
              </w:rPr>
            </w:pPr>
            <w:r w:rsidRPr="009D16E6">
              <w:rPr>
                <w:rFonts w:ascii="Arial" w:hAnsi="Arial" w:cs="Arial"/>
                <w:b/>
                <w:color w:val="FF0000"/>
                <w:lang w:val="en-US"/>
              </w:rPr>
              <w:t xml:space="preserve">East Africa </w:t>
            </w:r>
          </w:p>
          <w:p w14:paraId="688C0007" w14:textId="77777777" w:rsidR="00477E4E" w:rsidRPr="009D16E6" w:rsidRDefault="00477E4E" w:rsidP="002575CA">
            <w:pPr>
              <w:jc w:val="center"/>
              <w:rPr>
                <w:rFonts w:ascii="Arial" w:hAnsi="Arial" w:cs="Arial"/>
                <w:lang w:val="en-US"/>
              </w:rPr>
            </w:pPr>
            <w:r w:rsidRPr="009D16E6">
              <w:rPr>
                <w:rFonts w:ascii="Arial" w:hAnsi="Arial" w:cs="Arial"/>
                <w:lang w:val="en-US"/>
              </w:rPr>
              <w:t>COMESA, CEA</w:t>
            </w:r>
          </w:p>
        </w:tc>
        <w:tc>
          <w:tcPr>
            <w:tcW w:w="2814" w:type="dxa"/>
            <w:vAlign w:val="center"/>
          </w:tcPr>
          <w:p w14:paraId="5DE9FD15" w14:textId="77777777" w:rsidR="00477E4E" w:rsidRPr="009D16E6" w:rsidRDefault="00477E4E" w:rsidP="002575CA">
            <w:pPr>
              <w:jc w:val="center"/>
              <w:rPr>
                <w:rFonts w:ascii="Arial" w:hAnsi="Arial" w:cs="Arial"/>
                <w:lang w:val="en-US"/>
              </w:rPr>
            </w:pPr>
            <w:r w:rsidRPr="009D16E6">
              <w:rPr>
                <w:rFonts w:ascii="Arial" w:hAnsi="Arial" w:cs="Arial"/>
                <w:lang w:val="en-US"/>
              </w:rPr>
              <w:t>area</w:t>
            </w:r>
          </w:p>
          <w:p w14:paraId="749F0816" w14:textId="77777777" w:rsidR="00477E4E" w:rsidRPr="009D16E6" w:rsidRDefault="00477E4E" w:rsidP="002575CA">
            <w:pPr>
              <w:jc w:val="center"/>
              <w:rPr>
                <w:rFonts w:ascii="Arial" w:hAnsi="Arial" w:cs="Arial"/>
                <w:b/>
                <w:bCs/>
                <w:lang w:val="en-US"/>
              </w:rPr>
            </w:pPr>
            <w:r w:rsidRPr="009D16E6">
              <w:rPr>
                <w:rFonts w:ascii="Arial" w:hAnsi="Arial" w:cs="Arial"/>
                <w:b/>
                <w:lang w:val="en-US"/>
              </w:rPr>
              <w:t>26.338</w:t>
            </w:r>
            <w:r w:rsidRPr="009D16E6">
              <w:rPr>
                <w:rFonts w:ascii="Arial" w:hAnsi="Arial" w:cs="Arial"/>
                <w:lang w:val="en-US"/>
              </w:rPr>
              <w:t xml:space="preserve"> km</w:t>
            </w:r>
            <w:r w:rsidRPr="009D16E6">
              <w:rPr>
                <w:rFonts w:ascii="Arial" w:hAnsi="Arial" w:cs="Arial"/>
                <w:vertAlign w:val="superscript"/>
                <w:lang w:val="en-US"/>
              </w:rPr>
              <w:t>2</w:t>
            </w:r>
          </w:p>
        </w:tc>
      </w:tr>
      <w:tr w:rsidR="00477E4E" w:rsidRPr="00BF4666" w14:paraId="2BDBDF22" w14:textId="77777777" w:rsidTr="002575CA">
        <w:trPr>
          <w:trHeight w:val="807"/>
        </w:trPr>
        <w:tc>
          <w:tcPr>
            <w:tcW w:w="2192" w:type="dxa"/>
            <w:vMerge/>
            <w:vAlign w:val="center"/>
          </w:tcPr>
          <w:p w14:paraId="49D438F4" w14:textId="77777777" w:rsidR="00477E4E" w:rsidRPr="00BF4666" w:rsidRDefault="00477E4E" w:rsidP="002575CA">
            <w:pPr>
              <w:jc w:val="center"/>
              <w:rPr>
                <w:rFonts w:ascii="Arial" w:hAnsi="Arial" w:cs="Arial"/>
                <w:sz w:val="24"/>
                <w:szCs w:val="24"/>
                <w:lang w:val="en-US"/>
              </w:rPr>
            </w:pPr>
          </w:p>
        </w:tc>
        <w:tc>
          <w:tcPr>
            <w:tcW w:w="2452" w:type="dxa"/>
            <w:vAlign w:val="center"/>
          </w:tcPr>
          <w:p w14:paraId="6D99BB82" w14:textId="77777777" w:rsidR="00477E4E" w:rsidRPr="00BF4666" w:rsidRDefault="00477E4E" w:rsidP="002575CA">
            <w:pPr>
              <w:jc w:val="center"/>
              <w:rPr>
                <w:rFonts w:ascii="Arial" w:hAnsi="Arial" w:cs="Arial"/>
                <w:sz w:val="24"/>
                <w:szCs w:val="24"/>
                <w:lang w:val="en-US"/>
              </w:rPr>
            </w:pPr>
            <w:r w:rsidRPr="00BF4666">
              <w:rPr>
                <w:rFonts w:ascii="Arial" w:hAnsi="Arial" w:cs="Arial"/>
                <w:b/>
                <w:sz w:val="28"/>
                <w:szCs w:val="28"/>
                <w:lang w:val="en-US"/>
              </w:rPr>
              <w:t>Kigali</w:t>
            </w:r>
          </w:p>
        </w:tc>
        <w:tc>
          <w:tcPr>
            <w:tcW w:w="2694" w:type="dxa"/>
            <w:vAlign w:val="center"/>
          </w:tcPr>
          <w:p w14:paraId="3DBB6662" w14:textId="77777777" w:rsidR="00477E4E" w:rsidRPr="009D16E6" w:rsidRDefault="00477E4E" w:rsidP="002575CA">
            <w:pPr>
              <w:jc w:val="center"/>
              <w:rPr>
                <w:rFonts w:ascii="Arial" w:hAnsi="Arial" w:cs="Arial"/>
                <w:lang w:val="en-US"/>
              </w:rPr>
            </w:pPr>
            <w:r w:rsidRPr="009D16E6">
              <w:rPr>
                <w:rFonts w:ascii="Arial" w:hAnsi="Arial" w:cs="Arial"/>
                <w:lang w:val="en-US"/>
              </w:rPr>
              <w:t>population</w:t>
            </w:r>
          </w:p>
          <w:p w14:paraId="595396B1" w14:textId="32FFEEF5" w:rsidR="007B2FF0" w:rsidRPr="007B2FF0" w:rsidRDefault="007B2FF0" w:rsidP="007B2FF0">
            <w:pPr>
              <w:autoSpaceDE w:val="0"/>
              <w:autoSpaceDN w:val="0"/>
              <w:adjustRightInd w:val="0"/>
              <w:jc w:val="center"/>
              <w:rPr>
                <w:rFonts w:ascii="Arial" w:hAnsi="Arial" w:cs="Arial"/>
                <w:b/>
                <w:sz w:val="32"/>
                <w:szCs w:val="32"/>
                <w:lang w:val="en-US"/>
              </w:rPr>
            </w:pPr>
            <w:r w:rsidRPr="007B2FF0">
              <w:rPr>
                <w:rFonts w:ascii="Arial" w:hAnsi="Arial" w:cs="Arial"/>
                <w:b/>
                <w:sz w:val="32"/>
                <w:szCs w:val="32"/>
              </w:rPr>
              <w:t>1</w:t>
            </w:r>
            <w:r w:rsidR="00C35573">
              <w:rPr>
                <w:rFonts w:ascii="Arial" w:hAnsi="Arial" w:cs="Arial"/>
                <w:b/>
                <w:sz w:val="32"/>
                <w:szCs w:val="32"/>
              </w:rPr>
              <w:t>1</w:t>
            </w:r>
            <w:r w:rsidR="00AF617C">
              <w:rPr>
                <w:rFonts w:ascii="Arial" w:hAnsi="Arial" w:cs="Arial"/>
                <w:b/>
                <w:sz w:val="32"/>
                <w:szCs w:val="32"/>
              </w:rPr>
              <w:t>, 262,565</w:t>
            </w:r>
            <w:r w:rsidRPr="007B2FF0">
              <w:rPr>
                <w:rFonts w:ascii="Arial" w:hAnsi="Arial" w:cs="Arial"/>
                <w:b/>
                <w:sz w:val="32"/>
                <w:szCs w:val="32"/>
              </w:rPr>
              <w:t xml:space="preserve"> </w:t>
            </w:r>
          </w:p>
          <w:p w14:paraId="76C8DD03" w14:textId="77777777" w:rsidR="00477E4E" w:rsidRPr="009D16E6" w:rsidRDefault="00477E4E" w:rsidP="007B2FF0">
            <w:pPr>
              <w:autoSpaceDE w:val="0"/>
              <w:autoSpaceDN w:val="0"/>
              <w:adjustRightInd w:val="0"/>
              <w:jc w:val="center"/>
              <w:rPr>
                <w:rFonts w:ascii="Arial" w:hAnsi="Arial" w:cs="Arial"/>
                <w:lang w:val="en-US"/>
              </w:rPr>
            </w:pPr>
            <w:r w:rsidRPr="009D16E6">
              <w:rPr>
                <w:rFonts w:ascii="Arial" w:hAnsi="Arial" w:cs="Arial"/>
                <w:lang w:val="en-US"/>
              </w:rPr>
              <w:t>inhabitants</w:t>
            </w:r>
          </w:p>
        </w:tc>
        <w:tc>
          <w:tcPr>
            <w:tcW w:w="2814" w:type="dxa"/>
            <w:vAlign w:val="center"/>
          </w:tcPr>
          <w:p w14:paraId="12D3BEB1" w14:textId="77777777" w:rsidR="00A0563B" w:rsidRDefault="00A0563B" w:rsidP="00A0563B">
            <w:pPr>
              <w:jc w:val="center"/>
              <w:rPr>
                <w:rFonts w:ascii="Calibri" w:hAnsi="Calibri"/>
                <w:b/>
                <w:bCs/>
                <w:color w:val="000000"/>
                <w:lang w:val="en-US"/>
              </w:rPr>
            </w:pPr>
            <w:r>
              <w:rPr>
                <w:rFonts w:ascii="Calibri" w:hAnsi="Calibri"/>
                <w:b/>
                <w:bCs/>
                <w:color w:val="000000"/>
              </w:rPr>
              <w:t>220, 672, 507,548</w:t>
            </w:r>
          </w:p>
          <w:p w14:paraId="604756DA" w14:textId="77777777" w:rsidR="00477E4E" w:rsidRPr="009D16E6" w:rsidRDefault="00477E4E" w:rsidP="002575CA">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702"/>
        <w:gridCol w:w="630"/>
        <w:gridCol w:w="630"/>
        <w:gridCol w:w="540"/>
        <w:gridCol w:w="236"/>
        <w:gridCol w:w="990"/>
        <w:gridCol w:w="754"/>
      </w:tblGrid>
      <w:tr w:rsidR="00477E4E" w:rsidRPr="007321D4" w14:paraId="3E3A70F0" w14:textId="77777777" w:rsidTr="003D2613">
        <w:tc>
          <w:tcPr>
            <w:tcW w:w="5220" w:type="dxa"/>
            <w:gridSpan w:val="8"/>
            <w:tcBorders>
              <w:top w:val="nil"/>
              <w:left w:val="nil"/>
              <w:bottom w:val="single" w:sz="4" w:space="0" w:color="auto"/>
              <w:right w:val="nil"/>
            </w:tcBorders>
          </w:tcPr>
          <w:p w14:paraId="2D0BF172" w14:textId="77777777" w:rsidR="00477E4E" w:rsidRPr="007321D4" w:rsidRDefault="00477E4E" w:rsidP="003D2613">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477E4E" w:rsidRPr="007321D4" w14:paraId="4DD2DE0C" w14:textId="77777777" w:rsidTr="003D2613">
        <w:tc>
          <w:tcPr>
            <w:tcW w:w="3240" w:type="dxa"/>
            <w:gridSpan w:val="5"/>
            <w:tcBorders>
              <w:top w:val="single" w:sz="4" w:space="0" w:color="auto"/>
            </w:tcBorders>
            <w:vAlign w:val="center"/>
          </w:tcPr>
          <w:p w14:paraId="630B8ED0" w14:textId="77777777" w:rsidR="00477E4E" w:rsidRPr="00182D11" w:rsidRDefault="00477E4E" w:rsidP="003D2613">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14:paraId="4D72A36B" w14:textId="77777777" w:rsidR="00477E4E" w:rsidRPr="007321D4" w:rsidRDefault="00477E4E" w:rsidP="003D2613">
            <w:pPr>
              <w:jc w:val="center"/>
              <w:rPr>
                <w:rFonts w:ascii="Arial Narrow" w:hAnsi="Arial Narrow" w:cstheme="minorHAnsi"/>
                <w:sz w:val="16"/>
                <w:szCs w:val="16"/>
              </w:rPr>
            </w:pPr>
          </w:p>
        </w:tc>
        <w:tc>
          <w:tcPr>
            <w:tcW w:w="1744" w:type="dxa"/>
            <w:gridSpan w:val="2"/>
            <w:tcBorders>
              <w:top w:val="single" w:sz="4" w:space="0" w:color="auto"/>
            </w:tcBorders>
            <w:vAlign w:val="center"/>
          </w:tcPr>
          <w:p w14:paraId="41F42241" w14:textId="77777777" w:rsidR="00477E4E" w:rsidRPr="007321D4" w:rsidRDefault="00477E4E" w:rsidP="003D2613">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477E4E" w:rsidRPr="00182D11" w14:paraId="31E4D4D7" w14:textId="77777777" w:rsidTr="003D2613">
        <w:tc>
          <w:tcPr>
            <w:tcW w:w="738" w:type="dxa"/>
            <w:vMerge w:val="restart"/>
            <w:vAlign w:val="center"/>
          </w:tcPr>
          <w:p w14:paraId="2D9D424F" w14:textId="77777777" w:rsidR="00477E4E" w:rsidRPr="00182D11" w:rsidRDefault="00477E4E" w:rsidP="003D2613">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332" w:type="dxa"/>
            <w:gridSpan w:val="2"/>
            <w:tcBorders>
              <w:right w:val="single" w:sz="18" w:space="0" w:color="auto"/>
            </w:tcBorders>
            <w:vAlign w:val="center"/>
          </w:tcPr>
          <w:p w14:paraId="0505A346" w14:textId="77777777" w:rsidR="00477E4E" w:rsidRPr="00182D11" w:rsidRDefault="00477E4E" w:rsidP="003D2613">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14:paraId="44556E59" w14:textId="77777777" w:rsidR="00477E4E" w:rsidRPr="00182D11" w:rsidRDefault="00477E4E" w:rsidP="003D2613">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14:paraId="1C7735D5" w14:textId="77777777" w:rsidR="00477E4E" w:rsidRPr="00BF4666" w:rsidRDefault="00477E4E" w:rsidP="003D2613">
            <w:pPr>
              <w:jc w:val="center"/>
              <w:rPr>
                <w:rFonts w:ascii="Arial Narrow" w:eastAsia="Times New Roman" w:hAnsi="Arial Narrow" w:cstheme="minorHAnsi"/>
                <w:color w:val="000000"/>
                <w:sz w:val="16"/>
                <w:szCs w:val="16"/>
                <w:lang w:val="en-US"/>
              </w:rPr>
            </w:pPr>
          </w:p>
        </w:tc>
        <w:tc>
          <w:tcPr>
            <w:tcW w:w="990" w:type="dxa"/>
            <w:vMerge w:val="restart"/>
            <w:vAlign w:val="center"/>
          </w:tcPr>
          <w:p w14:paraId="2458FCA1" w14:textId="77777777" w:rsidR="00477E4E" w:rsidRPr="00182D11" w:rsidRDefault="00477E4E" w:rsidP="003D2613">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14:paraId="04E07493" w14:textId="77777777" w:rsidR="00477E4E" w:rsidRPr="00182D11" w:rsidRDefault="00477E4E" w:rsidP="003D2613">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477E4E" w:rsidRPr="00182D11" w14:paraId="105F3EA6" w14:textId="77777777" w:rsidTr="003D2613">
        <w:tc>
          <w:tcPr>
            <w:tcW w:w="738" w:type="dxa"/>
            <w:vMerge/>
            <w:vAlign w:val="center"/>
          </w:tcPr>
          <w:p w14:paraId="32C600BE" w14:textId="77777777" w:rsidR="00477E4E" w:rsidRPr="00182D11" w:rsidRDefault="00477E4E" w:rsidP="003D2613">
            <w:pPr>
              <w:jc w:val="center"/>
              <w:rPr>
                <w:rFonts w:ascii="Arial Narrow" w:hAnsi="Arial Narrow" w:cstheme="minorHAnsi"/>
                <w:sz w:val="24"/>
                <w:szCs w:val="24"/>
              </w:rPr>
            </w:pPr>
          </w:p>
        </w:tc>
        <w:tc>
          <w:tcPr>
            <w:tcW w:w="702" w:type="dxa"/>
            <w:vAlign w:val="center"/>
          </w:tcPr>
          <w:p w14:paraId="71173B2F" w14:textId="77777777" w:rsidR="00477E4E" w:rsidRPr="00182D11" w:rsidRDefault="00477E4E" w:rsidP="003D2613">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14:paraId="234662D3" w14:textId="77777777" w:rsidR="00477E4E" w:rsidRPr="00182D11" w:rsidRDefault="00477E4E" w:rsidP="003D2613">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14:paraId="5E4A1018" w14:textId="77777777" w:rsidR="00477E4E" w:rsidRPr="00182D11" w:rsidRDefault="00477E4E" w:rsidP="003D2613">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14:paraId="5A584195" w14:textId="77777777" w:rsidR="00477E4E" w:rsidRPr="00182D11" w:rsidRDefault="00477E4E" w:rsidP="003D2613">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14:paraId="06D8DB4E" w14:textId="77777777" w:rsidR="00477E4E" w:rsidRPr="00182D11" w:rsidRDefault="00477E4E" w:rsidP="003D2613">
            <w:pPr>
              <w:jc w:val="center"/>
              <w:rPr>
                <w:rFonts w:ascii="Arial Narrow" w:hAnsi="Arial Narrow" w:cstheme="minorHAnsi"/>
                <w:sz w:val="24"/>
                <w:szCs w:val="24"/>
              </w:rPr>
            </w:pPr>
          </w:p>
        </w:tc>
        <w:tc>
          <w:tcPr>
            <w:tcW w:w="990" w:type="dxa"/>
            <w:vMerge/>
            <w:vAlign w:val="center"/>
          </w:tcPr>
          <w:p w14:paraId="48620193" w14:textId="77777777" w:rsidR="00477E4E" w:rsidRPr="00182D11" w:rsidRDefault="00477E4E" w:rsidP="003D2613">
            <w:pPr>
              <w:jc w:val="center"/>
              <w:rPr>
                <w:rFonts w:ascii="Arial Narrow" w:hAnsi="Arial Narrow" w:cstheme="minorHAnsi"/>
                <w:sz w:val="24"/>
                <w:szCs w:val="24"/>
              </w:rPr>
            </w:pPr>
          </w:p>
        </w:tc>
        <w:tc>
          <w:tcPr>
            <w:tcW w:w="754" w:type="dxa"/>
            <w:vMerge/>
            <w:vAlign w:val="center"/>
          </w:tcPr>
          <w:p w14:paraId="72E32DC1" w14:textId="77777777" w:rsidR="00477E4E" w:rsidRPr="00182D11" w:rsidRDefault="00477E4E" w:rsidP="003D2613">
            <w:pPr>
              <w:jc w:val="center"/>
              <w:rPr>
                <w:rFonts w:ascii="Arial Narrow" w:hAnsi="Arial Narrow" w:cstheme="minorHAnsi"/>
                <w:sz w:val="24"/>
                <w:szCs w:val="24"/>
              </w:rPr>
            </w:pPr>
          </w:p>
        </w:tc>
      </w:tr>
      <w:tr w:rsidR="00A0563B" w:rsidRPr="00182D11" w14:paraId="3FC1FD29" w14:textId="77777777" w:rsidTr="003D2613">
        <w:tc>
          <w:tcPr>
            <w:tcW w:w="738" w:type="dxa"/>
            <w:vAlign w:val="center"/>
          </w:tcPr>
          <w:p w14:paraId="30F331C2" w14:textId="77777777" w:rsidR="00A0563B" w:rsidRPr="00182D11" w:rsidRDefault="00A0563B"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702" w:type="dxa"/>
            <w:vAlign w:val="center"/>
          </w:tcPr>
          <w:p w14:paraId="7CC8B5F1" w14:textId="35427AD8" w:rsidR="00A0563B" w:rsidRPr="003D2613" w:rsidRDefault="009237E5"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5,7%</w:t>
            </w:r>
          </w:p>
        </w:tc>
        <w:tc>
          <w:tcPr>
            <w:tcW w:w="630" w:type="dxa"/>
            <w:tcBorders>
              <w:right w:val="single" w:sz="18" w:space="0" w:color="auto"/>
            </w:tcBorders>
            <w:vAlign w:val="center"/>
          </w:tcPr>
          <w:p w14:paraId="3AF8CFEB" w14:textId="643927B7" w:rsidR="00A0563B" w:rsidRPr="003D2613" w:rsidRDefault="009237E5"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5,6%</w:t>
            </w:r>
          </w:p>
        </w:tc>
        <w:tc>
          <w:tcPr>
            <w:tcW w:w="630" w:type="dxa"/>
            <w:tcBorders>
              <w:left w:val="single" w:sz="18" w:space="0" w:color="auto"/>
            </w:tcBorders>
            <w:vAlign w:val="center"/>
          </w:tcPr>
          <w:p w14:paraId="764D3D77" w14:textId="285B7656" w:rsidR="00A0563B" w:rsidRPr="00232634" w:rsidRDefault="00232634" w:rsidP="00A0563B">
            <w:pPr>
              <w:jc w:val="center"/>
              <w:rPr>
                <w:rFonts w:ascii="Arial Narrow" w:eastAsia="Times New Roman" w:hAnsi="Arial Narrow" w:cstheme="minorHAnsi"/>
                <w:color w:val="000000"/>
                <w:sz w:val="16"/>
                <w:szCs w:val="16"/>
              </w:rPr>
            </w:pPr>
            <w:r w:rsidRPr="00232634">
              <w:rPr>
                <w:rFonts w:ascii="Arial Narrow" w:eastAsia="Times New Roman" w:hAnsi="Arial Narrow" w:cstheme="minorHAnsi"/>
                <w:color w:val="000000"/>
                <w:sz w:val="16"/>
                <w:szCs w:val="16"/>
              </w:rPr>
              <w:t>0,1</w:t>
            </w:r>
            <w:r>
              <w:rPr>
                <w:rFonts w:ascii="Arial Narrow" w:eastAsia="Times New Roman" w:hAnsi="Arial Narrow" w:cstheme="minorHAnsi"/>
                <w:color w:val="000000"/>
                <w:sz w:val="16"/>
                <w:szCs w:val="16"/>
              </w:rPr>
              <w:t>%</w:t>
            </w:r>
          </w:p>
        </w:tc>
        <w:tc>
          <w:tcPr>
            <w:tcW w:w="540" w:type="dxa"/>
            <w:vAlign w:val="center"/>
          </w:tcPr>
          <w:p w14:paraId="0C3BE8EF" w14:textId="055CA6B1" w:rsidR="00A0563B" w:rsidRPr="00232634" w:rsidRDefault="00232634" w:rsidP="00A0563B">
            <w:pPr>
              <w:jc w:val="center"/>
              <w:rPr>
                <w:rFonts w:ascii="Arial Narrow" w:eastAsia="Times New Roman" w:hAnsi="Arial Narrow" w:cstheme="minorHAnsi"/>
                <w:color w:val="000000"/>
                <w:sz w:val="16"/>
                <w:szCs w:val="16"/>
              </w:rPr>
            </w:pPr>
            <w:r w:rsidRPr="00232634">
              <w:rPr>
                <w:rFonts w:ascii="Arial Narrow" w:eastAsia="Times New Roman" w:hAnsi="Arial Narrow" w:cstheme="minorHAnsi"/>
                <w:color w:val="000000"/>
                <w:sz w:val="16"/>
                <w:szCs w:val="16"/>
              </w:rPr>
              <w:t>0,1</w:t>
            </w:r>
            <w:r>
              <w:rPr>
                <w:rFonts w:ascii="Arial Narrow" w:eastAsia="Times New Roman" w:hAnsi="Arial Narrow" w:cstheme="minorHAnsi"/>
                <w:color w:val="000000"/>
                <w:sz w:val="16"/>
                <w:szCs w:val="16"/>
              </w:rPr>
              <w:t>%</w:t>
            </w:r>
          </w:p>
        </w:tc>
        <w:tc>
          <w:tcPr>
            <w:tcW w:w="236" w:type="dxa"/>
            <w:vMerge/>
          </w:tcPr>
          <w:p w14:paraId="7163BF1C" w14:textId="77777777" w:rsidR="00A0563B" w:rsidRPr="00BF4666" w:rsidRDefault="00A0563B" w:rsidP="00A0563B">
            <w:pPr>
              <w:jc w:val="center"/>
              <w:rPr>
                <w:rFonts w:ascii="Arial Narrow" w:eastAsia="Times New Roman" w:hAnsi="Arial Narrow" w:cstheme="minorHAnsi"/>
                <w:color w:val="000000"/>
                <w:sz w:val="16"/>
                <w:szCs w:val="16"/>
                <w:lang w:val="en-US"/>
              </w:rPr>
            </w:pPr>
          </w:p>
        </w:tc>
        <w:tc>
          <w:tcPr>
            <w:tcW w:w="990" w:type="dxa"/>
            <w:vAlign w:val="center"/>
          </w:tcPr>
          <w:p w14:paraId="1AA78E69" w14:textId="77777777" w:rsidR="00A0563B" w:rsidRPr="00BF4666" w:rsidRDefault="00A0563B" w:rsidP="00A0563B">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Pre-primary</w:t>
            </w:r>
          </w:p>
        </w:tc>
        <w:tc>
          <w:tcPr>
            <w:tcW w:w="754" w:type="dxa"/>
            <w:vAlign w:val="center"/>
          </w:tcPr>
          <w:p w14:paraId="290F01BA" w14:textId="77777777" w:rsidR="00A0563B" w:rsidRPr="00182D11" w:rsidRDefault="00A0563B" w:rsidP="00A0563B">
            <w:pPr>
              <w:jc w:val="center"/>
              <w:rPr>
                <w:rFonts w:ascii="Arial Narrow" w:hAnsi="Arial Narrow" w:cstheme="minorHAnsi"/>
                <w:sz w:val="24"/>
                <w:szCs w:val="24"/>
              </w:rPr>
            </w:pPr>
            <w:r>
              <w:rPr>
                <w:rFonts w:ascii="Arial Narrow" w:hAnsi="Arial Narrow" w:cstheme="minorHAnsi"/>
                <w:sz w:val="24"/>
                <w:szCs w:val="24"/>
              </w:rPr>
              <w:t>2%</w:t>
            </w:r>
          </w:p>
        </w:tc>
      </w:tr>
      <w:tr w:rsidR="00A0563B" w:rsidRPr="00182D11" w14:paraId="028EEA08" w14:textId="77777777" w:rsidTr="003D2613">
        <w:tc>
          <w:tcPr>
            <w:tcW w:w="738" w:type="dxa"/>
            <w:vAlign w:val="center"/>
          </w:tcPr>
          <w:p w14:paraId="1019D767" w14:textId="77777777" w:rsidR="00A0563B" w:rsidRPr="00182D11" w:rsidRDefault="00A0563B"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702" w:type="dxa"/>
            <w:vAlign w:val="center"/>
          </w:tcPr>
          <w:p w14:paraId="4A694529" w14:textId="526F776D"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5,4%</w:t>
            </w:r>
          </w:p>
        </w:tc>
        <w:tc>
          <w:tcPr>
            <w:tcW w:w="630" w:type="dxa"/>
            <w:tcBorders>
              <w:right w:val="single" w:sz="18" w:space="0" w:color="auto"/>
            </w:tcBorders>
            <w:vAlign w:val="center"/>
          </w:tcPr>
          <w:p w14:paraId="438F1F52" w14:textId="7FB59309"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5,4%</w:t>
            </w:r>
          </w:p>
        </w:tc>
        <w:tc>
          <w:tcPr>
            <w:tcW w:w="630" w:type="dxa"/>
            <w:tcBorders>
              <w:left w:val="single" w:sz="18" w:space="0" w:color="auto"/>
            </w:tcBorders>
            <w:vAlign w:val="center"/>
          </w:tcPr>
          <w:p w14:paraId="64B15611" w14:textId="39BD973B"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1,2%</w:t>
            </w:r>
          </w:p>
        </w:tc>
        <w:tc>
          <w:tcPr>
            <w:tcW w:w="540" w:type="dxa"/>
            <w:vAlign w:val="center"/>
          </w:tcPr>
          <w:p w14:paraId="023FBCBF" w14:textId="2352B70F"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1,2%</w:t>
            </w:r>
          </w:p>
        </w:tc>
        <w:tc>
          <w:tcPr>
            <w:tcW w:w="236" w:type="dxa"/>
            <w:vMerge/>
          </w:tcPr>
          <w:p w14:paraId="62389472" w14:textId="77777777" w:rsidR="00A0563B" w:rsidRPr="00BF4666" w:rsidRDefault="00A0563B" w:rsidP="00A0563B">
            <w:pPr>
              <w:jc w:val="center"/>
              <w:rPr>
                <w:rFonts w:ascii="Arial Narrow" w:eastAsia="Times New Roman" w:hAnsi="Arial Narrow" w:cstheme="minorHAnsi"/>
                <w:color w:val="000000"/>
                <w:sz w:val="16"/>
                <w:szCs w:val="16"/>
                <w:lang w:val="en-US"/>
              </w:rPr>
            </w:pPr>
          </w:p>
        </w:tc>
        <w:tc>
          <w:tcPr>
            <w:tcW w:w="990" w:type="dxa"/>
            <w:vAlign w:val="center"/>
          </w:tcPr>
          <w:p w14:paraId="2FA3C7F0" w14:textId="77777777" w:rsidR="00A0563B" w:rsidRPr="00BF4666" w:rsidRDefault="00A0563B" w:rsidP="00A0563B">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14:paraId="393A0998" w14:textId="77777777" w:rsidR="00A0563B" w:rsidRPr="00182D11" w:rsidRDefault="00A0563B" w:rsidP="00A0563B">
            <w:pPr>
              <w:jc w:val="center"/>
              <w:rPr>
                <w:rFonts w:ascii="Arial Narrow" w:hAnsi="Arial Narrow" w:cstheme="minorHAnsi"/>
                <w:sz w:val="24"/>
                <w:szCs w:val="24"/>
              </w:rPr>
            </w:pPr>
            <w:r>
              <w:rPr>
                <w:rFonts w:ascii="Arial Narrow" w:hAnsi="Arial Narrow" w:cstheme="minorHAnsi"/>
                <w:sz w:val="24"/>
                <w:szCs w:val="24"/>
              </w:rPr>
              <w:t>34%</w:t>
            </w:r>
          </w:p>
        </w:tc>
      </w:tr>
      <w:tr w:rsidR="00A0563B" w:rsidRPr="00182D11" w14:paraId="11C6569E" w14:textId="77777777" w:rsidTr="003D2613">
        <w:tc>
          <w:tcPr>
            <w:tcW w:w="738" w:type="dxa"/>
            <w:vAlign w:val="center"/>
          </w:tcPr>
          <w:p w14:paraId="3FB4F844" w14:textId="77777777" w:rsidR="00A0563B" w:rsidRPr="00182D11" w:rsidRDefault="00A0563B" w:rsidP="00A0563B">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702" w:type="dxa"/>
            <w:vAlign w:val="center"/>
          </w:tcPr>
          <w:p w14:paraId="1CA52DDC" w14:textId="19456AF7"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9,3%</w:t>
            </w:r>
          </w:p>
        </w:tc>
        <w:tc>
          <w:tcPr>
            <w:tcW w:w="630" w:type="dxa"/>
            <w:tcBorders>
              <w:right w:val="single" w:sz="18" w:space="0" w:color="auto"/>
            </w:tcBorders>
            <w:vAlign w:val="center"/>
          </w:tcPr>
          <w:p w14:paraId="07DD23A5" w14:textId="73D6AE43"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9,4%</w:t>
            </w:r>
          </w:p>
        </w:tc>
        <w:tc>
          <w:tcPr>
            <w:tcW w:w="630" w:type="dxa"/>
            <w:tcBorders>
              <w:left w:val="single" w:sz="18" w:space="0" w:color="auto"/>
            </w:tcBorders>
            <w:vAlign w:val="center"/>
          </w:tcPr>
          <w:p w14:paraId="49AD38CC" w14:textId="37457AE3"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8,9%</w:t>
            </w:r>
          </w:p>
        </w:tc>
        <w:tc>
          <w:tcPr>
            <w:tcW w:w="540" w:type="dxa"/>
            <w:vAlign w:val="center"/>
          </w:tcPr>
          <w:p w14:paraId="1568CB5F" w14:textId="7F883864"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9,1%</w:t>
            </w:r>
          </w:p>
        </w:tc>
        <w:tc>
          <w:tcPr>
            <w:tcW w:w="236" w:type="dxa"/>
            <w:vMerge/>
          </w:tcPr>
          <w:p w14:paraId="704EA625" w14:textId="77777777" w:rsidR="00A0563B" w:rsidRPr="00BF4666" w:rsidRDefault="00A0563B" w:rsidP="00A0563B">
            <w:pPr>
              <w:jc w:val="center"/>
              <w:rPr>
                <w:rFonts w:ascii="Arial Narrow" w:eastAsia="Times New Roman" w:hAnsi="Arial Narrow" w:cstheme="minorHAnsi"/>
                <w:color w:val="000000"/>
                <w:sz w:val="16"/>
                <w:szCs w:val="16"/>
                <w:lang w:val="en-US"/>
              </w:rPr>
            </w:pPr>
          </w:p>
        </w:tc>
        <w:tc>
          <w:tcPr>
            <w:tcW w:w="990" w:type="dxa"/>
            <w:vAlign w:val="center"/>
          </w:tcPr>
          <w:p w14:paraId="1448C0D8" w14:textId="77777777" w:rsidR="00A0563B" w:rsidRPr="00BF4666" w:rsidRDefault="00A0563B" w:rsidP="00A0563B">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14:paraId="461AEB6C" w14:textId="77777777" w:rsidR="00A0563B" w:rsidRPr="00182D11" w:rsidRDefault="00A0563B" w:rsidP="00A0563B">
            <w:pPr>
              <w:jc w:val="center"/>
              <w:rPr>
                <w:rFonts w:ascii="Arial Narrow" w:hAnsi="Arial Narrow" w:cstheme="minorHAnsi"/>
                <w:sz w:val="24"/>
                <w:szCs w:val="24"/>
              </w:rPr>
            </w:pPr>
            <w:r>
              <w:rPr>
                <w:rFonts w:ascii="Arial Narrow" w:hAnsi="Arial Narrow" w:cstheme="minorHAnsi"/>
                <w:sz w:val="24"/>
                <w:szCs w:val="24"/>
              </w:rPr>
              <w:t>32%</w:t>
            </w:r>
          </w:p>
        </w:tc>
      </w:tr>
      <w:tr w:rsidR="00A0563B" w:rsidRPr="00182D11" w14:paraId="1EB8D5AF" w14:textId="77777777" w:rsidTr="003D2613">
        <w:tc>
          <w:tcPr>
            <w:tcW w:w="738" w:type="dxa"/>
            <w:vAlign w:val="center"/>
          </w:tcPr>
          <w:p w14:paraId="00F5B0B6" w14:textId="77777777" w:rsidR="00A0563B" w:rsidRPr="00182D11" w:rsidRDefault="00A0563B" w:rsidP="00A0563B">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702" w:type="dxa"/>
            <w:vAlign w:val="center"/>
          </w:tcPr>
          <w:p w14:paraId="6C88EA44" w14:textId="17253B75"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7,8%</w:t>
            </w:r>
          </w:p>
        </w:tc>
        <w:tc>
          <w:tcPr>
            <w:tcW w:w="630" w:type="dxa"/>
            <w:tcBorders>
              <w:right w:val="single" w:sz="18" w:space="0" w:color="auto"/>
            </w:tcBorders>
            <w:vAlign w:val="center"/>
          </w:tcPr>
          <w:p w14:paraId="5B901CBA" w14:textId="0DE8330F"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8,0%</w:t>
            </w:r>
          </w:p>
        </w:tc>
        <w:tc>
          <w:tcPr>
            <w:tcW w:w="630" w:type="dxa"/>
            <w:tcBorders>
              <w:left w:val="single" w:sz="18" w:space="0" w:color="auto"/>
            </w:tcBorders>
            <w:vAlign w:val="center"/>
          </w:tcPr>
          <w:p w14:paraId="42AAF1D9" w14:textId="27E8640B"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2,8%</w:t>
            </w:r>
          </w:p>
        </w:tc>
        <w:tc>
          <w:tcPr>
            <w:tcW w:w="540" w:type="dxa"/>
            <w:vAlign w:val="center"/>
          </w:tcPr>
          <w:p w14:paraId="330CE959" w14:textId="1952BC76"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3,2%</w:t>
            </w:r>
          </w:p>
        </w:tc>
        <w:tc>
          <w:tcPr>
            <w:tcW w:w="236" w:type="dxa"/>
            <w:vMerge/>
          </w:tcPr>
          <w:p w14:paraId="1160DB2B" w14:textId="77777777" w:rsidR="00A0563B" w:rsidRPr="00BF4666" w:rsidRDefault="00A0563B" w:rsidP="00A0563B">
            <w:pPr>
              <w:jc w:val="center"/>
              <w:rPr>
                <w:rFonts w:ascii="Arial Narrow" w:eastAsia="Times New Roman" w:hAnsi="Arial Narrow" w:cstheme="minorHAnsi"/>
                <w:color w:val="000000"/>
                <w:sz w:val="16"/>
                <w:szCs w:val="16"/>
                <w:lang w:val="en-US"/>
              </w:rPr>
            </w:pPr>
          </w:p>
        </w:tc>
        <w:tc>
          <w:tcPr>
            <w:tcW w:w="990" w:type="dxa"/>
            <w:vAlign w:val="center"/>
          </w:tcPr>
          <w:p w14:paraId="4BC4C04F" w14:textId="77777777" w:rsidR="00A0563B" w:rsidRPr="00BF4666" w:rsidRDefault="00A0563B" w:rsidP="00A0563B">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14:paraId="56127FAC" w14:textId="77777777" w:rsidR="00A0563B" w:rsidRPr="00182D11" w:rsidRDefault="00A0563B" w:rsidP="00A0563B">
            <w:pPr>
              <w:jc w:val="center"/>
              <w:rPr>
                <w:rFonts w:ascii="Arial Narrow" w:hAnsi="Arial Narrow" w:cstheme="minorHAnsi"/>
                <w:sz w:val="24"/>
                <w:szCs w:val="24"/>
              </w:rPr>
            </w:pPr>
            <w:r>
              <w:rPr>
                <w:rFonts w:ascii="Arial Narrow" w:hAnsi="Arial Narrow" w:cstheme="minorHAnsi"/>
                <w:sz w:val="24"/>
                <w:szCs w:val="24"/>
              </w:rPr>
              <w:t>14%</w:t>
            </w:r>
          </w:p>
        </w:tc>
      </w:tr>
      <w:tr w:rsidR="00A0563B" w:rsidRPr="00182D11" w14:paraId="117AACAF" w14:textId="77777777" w:rsidTr="003D2613">
        <w:tc>
          <w:tcPr>
            <w:tcW w:w="738" w:type="dxa"/>
            <w:vAlign w:val="center"/>
          </w:tcPr>
          <w:p w14:paraId="33EA5924" w14:textId="77777777" w:rsidR="00A0563B" w:rsidRPr="00182D11" w:rsidRDefault="00A0563B" w:rsidP="00A0563B">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702" w:type="dxa"/>
            <w:vAlign w:val="center"/>
          </w:tcPr>
          <w:p w14:paraId="406A8741" w14:textId="0A66B40D"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7,5%</w:t>
            </w:r>
          </w:p>
        </w:tc>
        <w:tc>
          <w:tcPr>
            <w:tcW w:w="630" w:type="dxa"/>
            <w:tcBorders>
              <w:right w:val="single" w:sz="18" w:space="0" w:color="auto"/>
            </w:tcBorders>
            <w:vAlign w:val="center"/>
          </w:tcPr>
          <w:p w14:paraId="51D3A5E6" w14:textId="45F86CED" w:rsidR="00A0563B" w:rsidRPr="003D2613" w:rsidRDefault="00FD14F9" w:rsidP="00A0563B">
            <w:pPr>
              <w:jc w:val="center"/>
              <w:rPr>
                <w:rFonts w:ascii="Arial Narrow" w:hAnsi="Arial Narrow" w:cstheme="minorHAnsi"/>
                <w:sz w:val="16"/>
                <w:szCs w:val="16"/>
              </w:rPr>
            </w:pPr>
            <w:r>
              <w:rPr>
                <w:rFonts w:ascii="Arial Narrow" w:hAnsi="Arial Narrow" w:cstheme="minorHAnsi"/>
                <w:sz w:val="16"/>
                <w:szCs w:val="16"/>
              </w:rPr>
              <w:t>7,8%</w:t>
            </w:r>
          </w:p>
        </w:tc>
        <w:tc>
          <w:tcPr>
            <w:tcW w:w="630" w:type="dxa"/>
            <w:tcBorders>
              <w:left w:val="single" w:sz="18" w:space="0" w:color="auto"/>
            </w:tcBorders>
            <w:vAlign w:val="center"/>
          </w:tcPr>
          <w:p w14:paraId="3F9047DD" w14:textId="1614B2C4"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2,1%</w:t>
            </w:r>
          </w:p>
        </w:tc>
        <w:tc>
          <w:tcPr>
            <w:tcW w:w="540" w:type="dxa"/>
            <w:vAlign w:val="center"/>
          </w:tcPr>
          <w:p w14:paraId="1D21C4ED" w14:textId="331AD003"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2,1%</w:t>
            </w:r>
          </w:p>
        </w:tc>
        <w:tc>
          <w:tcPr>
            <w:tcW w:w="236" w:type="dxa"/>
            <w:vMerge/>
          </w:tcPr>
          <w:p w14:paraId="338C7132" w14:textId="77777777" w:rsidR="00A0563B" w:rsidRPr="00BF4666" w:rsidRDefault="00A0563B" w:rsidP="00A0563B">
            <w:pPr>
              <w:jc w:val="center"/>
              <w:rPr>
                <w:rFonts w:ascii="Arial Narrow" w:eastAsia="Times New Roman" w:hAnsi="Arial Narrow" w:cstheme="minorHAnsi"/>
                <w:color w:val="000000"/>
                <w:sz w:val="16"/>
                <w:szCs w:val="16"/>
                <w:lang w:val="en-US"/>
              </w:rPr>
            </w:pPr>
          </w:p>
        </w:tc>
        <w:tc>
          <w:tcPr>
            <w:tcW w:w="990" w:type="dxa"/>
            <w:vAlign w:val="center"/>
          </w:tcPr>
          <w:p w14:paraId="2DDF4E60" w14:textId="77777777" w:rsidR="00A0563B" w:rsidRPr="00BF4666" w:rsidRDefault="00A0563B" w:rsidP="00A0563B">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14:paraId="6ACE9017" w14:textId="77777777" w:rsidR="00A0563B" w:rsidRPr="00182D11" w:rsidRDefault="00A0563B" w:rsidP="00A0563B">
            <w:pPr>
              <w:jc w:val="center"/>
              <w:rPr>
                <w:rFonts w:ascii="Arial Narrow" w:hAnsi="Arial Narrow" w:cstheme="minorHAnsi"/>
                <w:sz w:val="24"/>
                <w:szCs w:val="24"/>
              </w:rPr>
            </w:pPr>
            <w:r>
              <w:rPr>
                <w:rFonts w:ascii="Arial Narrow" w:hAnsi="Arial Narrow" w:cstheme="minorHAnsi"/>
                <w:sz w:val="24"/>
                <w:szCs w:val="24"/>
              </w:rPr>
              <w:t>17%</w:t>
            </w:r>
          </w:p>
        </w:tc>
      </w:tr>
      <w:tr w:rsidR="00A0563B" w:rsidRPr="00182D11" w14:paraId="6AA0E77A" w14:textId="77777777" w:rsidTr="003D2613">
        <w:tc>
          <w:tcPr>
            <w:tcW w:w="738" w:type="dxa"/>
            <w:vAlign w:val="center"/>
          </w:tcPr>
          <w:p w14:paraId="2A3F5F76" w14:textId="77777777" w:rsidR="00A0563B" w:rsidRPr="00182D11" w:rsidRDefault="00A0563B" w:rsidP="00A0563B">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702" w:type="dxa"/>
            <w:vAlign w:val="center"/>
          </w:tcPr>
          <w:p w14:paraId="5C3DF9F2" w14:textId="21160136" w:rsidR="00A0563B" w:rsidRPr="003D2613" w:rsidRDefault="009237E5" w:rsidP="00A0563B">
            <w:pPr>
              <w:jc w:val="center"/>
              <w:rPr>
                <w:rFonts w:ascii="Arial Narrow" w:hAnsi="Arial Narrow" w:cstheme="minorHAnsi"/>
                <w:sz w:val="16"/>
                <w:szCs w:val="16"/>
              </w:rPr>
            </w:pPr>
            <w:r>
              <w:rPr>
                <w:rFonts w:ascii="Arial Narrow" w:hAnsi="Arial Narrow" w:cstheme="minorHAnsi"/>
                <w:sz w:val="16"/>
                <w:szCs w:val="16"/>
              </w:rPr>
              <w:t>8,7%</w:t>
            </w:r>
          </w:p>
        </w:tc>
        <w:tc>
          <w:tcPr>
            <w:tcW w:w="630" w:type="dxa"/>
            <w:tcBorders>
              <w:right w:val="single" w:sz="18" w:space="0" w:color="auto"/>
            </w:tcBorders>
            <w:vAlign w:val="center"/>
          </w:tcPr>
          <w:p w14:paraId="50AAAF13" w14:textId="667787CD" w:rsidR="00A0563B" w:rsidRPr="003D2613" w:rsidRDefault="00FD14F9" w:rsidP="00A0563B">
            <w:pPr>
              <w:jc w:val="center"/>
              <w:rPr>
                <w:rFonts w:ascii="Arial Narrow" w:hAnsi="Arial Narrow" w:cstheme="minorHAnsi"/>
                <w:sz w:val="16"/>
                <w:szCs w:val="16"/>
              </w:rPr>
            </w:pPr>
            <w:r>
              <w:rPr>
                <w:rFonts w:ascii="Arial Narrow" w:hAnsi="Arial Narrow" w:cstheme="minorHAnsi"/>
                <w:sz w:val="16"/>
                <w:szCs w:val="16"/>
              </w:rPr>
              <w:t>9,1%</w:t>
            </w:r>
          </w:p>
        </w:tc>
        <w:tc>
          <w:tcPr>
            <w:tcW w:w="630" w:type="dxa"/>
            <w:tcBorders>
              <w:left w:val="single" w:sz="18" w:space="0" w:color="auto"/>
            </w:tcBorders>
            <w:vAlign w:val="center"/>
          </w:tcPr>
          <w:p w14:paraId="3F0B56E6" w14:textId="26AACF85"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0,6%</w:t>
            </w:r>
          </w:p>
        </w:tc>
        <w:tc>
          <w:tcPr>
            <w:tcW w:w="540" w:type="dxa"/>
            <w:vAlign w:val="center"/>
          </w:tcPr>
          <w:p w14:paraId="31119E15" w14:textId="01E7DF49" w:rsidR="00A0563B" w:rsidRPr="00232634" w:rsidRDefault="00AF617C" w:rsidP="00A0563B">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0,6%</w:t>
            </w:r>
          </w:p>
        </w:tc>
        <w:tc>
          <w:tcPr>
            <w:tcW w:w="236" w:type="dxa"/>
            <w:vMerge/>
          </w:tcPr>
          <w:p w14:paraId="0BEA4E05" w14:textId="77777777" w:rsidR="00A0563B" w:rsidRPr="00BF4666" w:rsidRDefault="00A0563B" w:rsidP="00A0563B">
            <w:pPr>
              <w:jc w:val="center"/>
              <w:rPr>
                <w:rFonts w:ascii="Arial Narrow" w:eastAsia="Times New Roman" w:hAnsi="Arial Narrow" w:cstheme="minorHAnsi"/>
                <w:color w:val="000000"/>
                <w:sz w:val="16"/>
                <w:szCs w:val="16"/>
                <w:lang w:val="en-US"/>
              </w:rPr>
            </w:pPr>
          </w:p>
        </w:tc>
        <w:tc>
          <w:tcPr>
            <w:tcW w:w="990" w:type="dxa"/>
            <w:vAlign w:val="center"/>
          </w:tcPr>
          <w:p w14:paraId="36BFC6BF" w14:textId="77777777" w:rsidR="00A0563B" w:rsidRPr="00BF4666" w:rsidRDefault="00A0563B" w:rsidP="00A0563B">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14:paraId="76385850" w14:textId="77777777" w:rsidR="00A0563B" w:rsidRPr="00182D11" w:rsidRDefault="00A0563B" w:rsidP="00A0563B">
            <w:pPr>
              <w:jc w:val="center"/>
              <w:rPr>
                <w:rFonts w:ascii="Arial Narrow" w:hAnsi="Arial Narrow" w:cstheme="minorHAnsi"/>
                <w:sz w:val="24"/>
                <w:szCs w:val="24"/>
              </w:rPr>
            </w:pPr>
            <w:r>
              <w:rPr>
                <w:rFonts w:ascii="Arial Narrow" w:hAnsi="Arial Narrow" w:cstheme="minorHAnsi"/>
                <w:sz w:val="24"/>
                <w:szCs w:val="24"/>
              </w:rPr>
              <w:t>1%</w:t>
            </w:r>
          </w:p>
        </w:tc>
      </w:tr>
    </w:tbl>
    <w:p w14:paraId="39DD1B3F" w14:textId="77777777" w:rsidR="00477E4E" w:rsidRPr="00BF4666" w:rsidRDefault="00477E4E" w:rsidP="00477E4E">
      <w:pPr>
        <w:rPr>
          <w:rFonts w:ascii="Arial" w:hAnsi="Arial" w:cs="Arial"/>
          <w:i/>
          <w:sz w:val="24"/>
          <w:szCs w:val="24"/>
          <w:lang w:val="en-US"/>
        </w:rPr>
      </w:pPr>
    </w:p>
    <w:p w14:paraId="726B1740" w14:textId="77777777" w:rsidR="00477E4E" w:rsidRPr="00BF4666" w:rsidRDefault="00477E4E" w:rsidP="00477E4E">
      <w:pPr>
        <w:rPr>
          <w:rFonts w:ascii="Arial" w:hAnsi="Arial" w:cs="Arial"/>
          <w:i/>
          <w:sz w:val="24"/>
          <w:szCs w:val="24"/>
          <w:lang w:val="en-US"/>
        </w:rPr>
      </w:pPr>
    </w:p>
    <w:p w14:paraId="1167EA83" w14:textId="77777777" w:rsidR="00477E4E" w:rsidRPr="00BF4666" w:rsidRDefault="00477E4E" w:rsidP="00477E4E">
      <w:pPr>
        <w:rPr>
          <w:rFonts w:ascii="Arial" w:hAnsi="Arial" w:cs="Arial"/>
          <w:i/>
          <w:sz w:val="24"/>
          <w:szCs w:val="24"/>
          <w:lang w:val="en-US"/>
        </w:rPr>
      </w:pPr>
    </w:p>
    <w:p w14:paraId="5A9C6B98" w14:textId="77777777" w:rsidR="00477E4E" w:rsidRPr="00BF4666" w:rsidRDefault="00477E4E" w:rsidP="00477E4E">
      <w:pPr>
        <w:rPr>
          <w:rFonts w:ascii="Arial" w:hAnsi="Arial" w:cs="Arial"/>
          <w:i/>
          <w:sz w:val="24"/>
          <w:szCs w:val="24"/>
          <w:lang w:val="en-US"/>
        </w:rPr>
      </w:pPr>
    </w:p>
    <w:p w14:paraId="3DD8956A" w14:textId="77777777" w:rsidR="00477E4E" w:rsidRPr="00BF4666" w:rsidRDefault="00477E4E" w:rsidP="00477E4E">
      <w:pPr>
        <w:rPr>
          <w:rFonts w:ascii="Arial" w:hAnsi="Arial" w:cs="Arial"/>
          <w:i/>
          <w:sz w:val="24"/>
          <w:szCs w:val="24"/>
          <w:lang w:val="en-US"/>
        </w:rPr>
      </w:pPr>
    </w:p>
    <w:p w14:paraId="38E8CC44" w14:textId="77777777" w:rsidR="00477E4E" w:rsidRDefault="00477E4E" w:rsidP="00477E4E">
      <w:pPr>
        <w:rPr>
          <w:rFonts w:ascii="Arial" w:hAnsi="Arial" w:cs="Arial"/>
          <w:i/>
          <w:sz w:val="24"/>
          <w:szCs w:val="24"/>
          <w:lang w:val="en-US"/>
        </w:rPr>
      </w:pPr>
    </w:p>
    <w:p w14:paraId="55F10E7D" w14:textId="77777777" w:rsidR="003960E7" w:rsidRPr="003960E7" w:rsidRDefault="003960E7" w:rsidP="004E297E">
      <w:pPr>
        <w:jc w:val="both"/>
        <w:rPr>
          <w:rFonts w:ascii="Tahoma" w:hAnsi="Tahoma" w:cs="Tahoma"/>
          <w:lang w:val="en-GB"/>
        </w:rPr>
      </w:pPr>
      <w:r w:rsidRPr="00477E4E">
        <w:rPr>
          <w:rFonts w:ascii="Tahoma" w:hAnsi="Tahoma" w:cs="Tahoma"/>
          <w:lang w:val="en-GB"/>
        </w:rPr>
        <w:t>The Ministry of Education</w:t>
      </w:r>
      <w:r>
        <w:rPr>
          <w:rFonts w:ascii="Tahoma" w:hAnsi="Tahoma" w:cs="Tahoma"/>
          <w:lang w:val="en-GB"/>
        </w:rPr>
        <w:t>’s</w:t>
      </w:r>
      <w:r w:rsidRPr="00477E4E">
        <w:rPr>
          <w:rFonts w:ascii="Tahoma" w:hAnsi="Tahoma" w:cs="Tahoma"/>
          <w:lang w:val="en-GB"/>
        </w:rPr>
        <w:t xml:space="preserve"> aim is to transform Rwandan citizens into skilled human capital for the socio-economic development of the country. </w:t>
      </w:r>
      <w:r>
        <w:rPr>
          <w:rFonts w:ascii="Tahoma" w:hAnsi="Tahoma" w:cs="Tahoma"/>
          <w:lang w:val="en-GB"/>
        </w:rPr>
        <w:t>T</w:t>
      </w:r>
      <w:r w:rsidRPr="003960E7">
        <w:rPr>
          <w:rFonts w:ascii="Tahoma" w:hAnsi="Tahoma" w:cs="Tahoma"/>
          <w:lang w:val="en-GB"/>
        </w:rPr>
        <w:t>he education system is composed of four main levels: Pre-primary, Primary, Secondary, and Higher Education, with a significant TVET stream at both secondary and higher education levels. In addition there is non-formal education, or Adult Basic Education (ABE) as it is now more commonly referred to. Compulsory education spans the nine years from age 7 to age 15, covering primary and lower secondary education, and is commonly known as Nine Years Basic Education (9YBE).</w:t>
      </w:r>
    </w:p>
    <w:p w14:paraId="1BC5BDAF" w14:textId="77777777" w:rsidR="00A97882" w:rsidRDefault="00D569A9" w:rsidP="00A97882">
      <w:pPr>
        <w:jc w:val="both"/>
        <w:rPr>
          <w:rFonts w:ascii="Tahoma" w:hAnsi="Tahoma" w:cs="Tahoma"/>
          <w:lang w:val="en-GB"/>
        </w:rPr>
      </w:pPr>
      <w:r>
        <w:rPr>
          <w:rFonts w:ascii="Tahoma" w:hAnsi="Tahoma" w:cs="Tahoma"/>
          <w:lang w:val="en-GB"/>
        </w:rPr>
        <w:t>Pre-Primary e</w:t>
      </w:r>
      <w:r w:rsidR="003960E7" w:rsidRPr="003960E7">
        <w:rPr>
          <w:rFonts w:ascii="Tahoma" w:hAnsi="Tahoma" w:cs="Tahoma"/>
          <w:lang w:val="en-GB"/>
        </w:rPr>
        <w:t>ducation is organised in nursery schools and for a period of three years for children between the age of 4</w:t>
      </w:r>
      <w:r w:rsidR="003960E7">
        <w:rPr>
          <w:rFonts w:ascii="Tahoma" w:hAnsi="Tahoma" w:cs="Tahoma"/>
          <w:lang w:val="en-GB"/>
        </w:rPr>
        <w:t xml:space="preserve"> and 6. </w:t>
      </w:r>
      <w:r>
        <w:rPr>
          <w:rFonts w:ascii="Tahoma" w:hAnsi="Tahoma" w:cs="Tahoma"/>
          <w:lang w:val="en-GB"/>
        </w:rPr>
        <w:t>The e</w:t>
      </w:r>
      <w:r w:rsidR="003960E7" w:rsidRPr="00477E4E">
        <w:rPr>
          <w:rFonts w:ascii="Tahoma" w:hAnsi="Tahoma" w:cs="Tahoma"/>
          <w:lang w:val="en-GB"/>
        </w:rPr>
        <w:t xml:space="preserve">ducation sector has made commendable progress whereby the number of children enrolled in </w:t>
      </w:r>
      <w:r>
        <w:rPr>
          <w:rFonts w:ascii="Tahoma" w:hAnsi="Tahoma" w:cs="Tahoma"/>
          <w:lang w:val="en-GB"/>
        </w:rPr>
        <w:t>Pre-P</w:t>
      </w:r>
      <w:r w:rsidR="003960E7" w:rsidRPr="00477E4E">
        <w:rPr>
          <w:rFonts w:ascii="Tahoma" w:hAnsi="Tahoma" w:cs="Tahoma"/>
          <w:lang w:val="en-GB"/>
        </w:rPr>
        <w:t xml:space="preserve">rimary </w:t>
      </w:r>
      <w:r>
        <w:rPr>
          <w:rFonts w:ascii="Tahoma" w:hAnsi="Tahoma" w:cs="Tahoma"/>
          <w:lang w:val="en-GB"/>
        </w:rPr>
        <w:t>S</w:t>
      </w:r>
      <w:r w:rsidR="003960E7" w:rsidRPr="00477E4E">
        <w:rPr>
          <w:rFonts w:ascii="Tahoma" w:hAnsi="Tahoma" w:cs="Tahoma"/>
          <w:lang w:val="en-GB"/>
        </w:rPr>
        <w:t>chools increased from 159,291 children in 2014</w:t>
      </w:r>
      <w:r w:rsidR="004567AD" w:rsidRPr="004567AD">
        <w:rPr>
          <w:rFonts w:ascii="Tahoma" w:hAnsi="Tahoma" w:cs="Tahoma"/>
          <w:lang w:val="en-GB"/>
        </w:rPr>
        <w:t xml:space="preserve"> to 183,658 in 2015</w:t>
      </w:r>
      <w:r>
        <w:rPr>
          <w:rFonts w:ascii="Tahoma" w:hAnsi="Tahoma" w:cs="Tahoma"/>
          <w:lang w:val="en-GB"/>
        </w:rPr>
        <w:t>. The total number of staff in P</w:t>
      </w:r>
      <w:r w:rsidR="003960E7" w:rsidRPr="00477E4E">
        <w:rPr>
          <w:rFonts w:ascii="Tahoma" w:hAnsi="Tahoma" w:cs="Tahoma"/>
          <w:lang w:val="en-GB"/>
        </w:rPr>
        <w:t>re-</w:t>
      </w:r>
      <w:r>
        <w:rPr>
          <w:rFonts w:ascii="Tahoma" w:hAnsi="Tahoma" w:cs="Tahoma"/>
          <w:lang w:val="en-GB"/>
        </w:rPr>
        <w:t>P</w:t>
      </w:r>
      <w:r w:rsidR="003960E7" w:rsidRPr="00477E4E">
        <w:rPr>
          <w:rFonts w:ascii="Tahoma" w:hAnsi="Tahoma" w:cs="Tahoma"/>
          <w:lang w:val="en-GB"/>
        </w:rPr>
        <w:t xml:space="preserve">rimary </w:t>
      </w:r>
      <w:r>
        <w:rPr>
          <w:rFonts w:ascii="Tahoma" w:hAnsi="Tahoma" w:cs="Tahoma"/>
          <w:lang w:val="en-GB"/>
        </w:rPr>
        <w:t>S</w:t>
      </w:r>
      <w:r w:rsidR="003960E7" w:rsidRPr="00477E4E">
        <w:rPr>
          <w:rFonts w:ascii="Tahoma" w:hAnsi="Tahoma" w:cs="Tahoma"/>
          <w:lang w:val="en-GB"/>
        </w:rPr>
        <w:t xml:space="preserve">chools increased </w:t>
      </w:r>
      <w:r w:rsidR="004567AD" w:rsidRPr="004567AD">
        <w:rPr>
          <w:rFonts w:ascii="Tahoma" w:hAnsi="Tahoma" w:cs="Tahoma"/>
          <w:lang w:val="en-GB"/>
        </w:rPr>
        <w:t>from 4,671 in 2014 to 5,386 in 2015.</w:t>
      </w:r>
      <w:r w:rsidR="005B65BF">
        <w:rPr>
          <w:rFonts w:ascii="Tahoma" w:hAnsi="Tahoma" w:cs="Tahoma"/>
          <w:lang w:val="en-GB"/>
        </w:rPr>
        <w:t xml:space="preserve"> </w:t>
      </w:r>
      <w:r w:rsidR="005B65BF" w:rsidRPr="004E297E">
        <w:rPr>
          <w:rFonts w:ascii="Tahoma" w:hAnsi="Tahoma" w:cs="Tahoma"/>
          <w:lang w:val="en-GB"/>
        </w:rPr>
        <w:t>T</w:t>
      </w:r>
      <w:r w:rsidR="005B65BF" w:rsidRPr="00477E4E">
        <w:rPr>
          <w:rFonts w:ascii="Tahoma" w:hAnsi="Tahoma" w:cs="Tahoma"/>
          <w:lang w:val="en-GB"/>
        </w:rPr>
        <w:t xml:space="preserve">he Net </w:t>
      </w:r>
      <w:r w:rsidR="005B65BF" w:rsidRPr="004E297E">
        <w:rPr>
          <w:rFonts w:ascii="Tahoma" w:hAnsi="Tahoma" w:cs="Tahoma"/>
          <w:lang w:val="en-GB"/>
        </w:rPr>
        <w:t>E</w:t>
      </w:r>
      <w:r w:rsidR="005B65BF" w:rsidRPr="00477E4E">
        <w:rPr>
          <w:rFonts w:ascii="Tahoma" w:hAnsi="Tahoma" w:cs="Tahoma"/>
          <w:lang w:val="en-GB"/>
        </w:rPr>
        <w:t xml:space="preserve">nrolment </w:t>
      </w:r>
      <w:r w:rsidR="005B65BF" w:rsidRPr="004E297E">
        <w:rPr>
          <w:rFonts w:ascii="Tahoma" w:hAnsi="Tahoma" w:cs="Tahoma"/>
          <w:lang w:val="en-GB"/>
        </w:rPr>
        <w:t>Rate</w:t>
      </w:r>
      <w:r w:rsidR="005B65BF">
        <w:rPr>
          <w:rFonts w:ascii="Tahoma" w:hAnsi="Tahoma" w:cs="Tahoma"/>
          <w:lang w:val="en-GB"/>
        </w:rPr>
        <w:t xml:space="preserve"> (NER) </w:t>
      </w:r>
      <w:r w:rsidR="00A97882">
        <w:rPr>
          <w:rFonts w:ascii="Tahoma" w:hAnsi="Tahoma" w:cs="Tahoma"/>
          <w:lang w:val="en-GB"/>
        </w:rPr>
        <w:t>in Pre-Primary Education increased from 13.3% in 2014 to 14.2% in 2015. The Gross Enrolment Rate (GER) increased from 17.5% in 2014 to 20.2% in 2015.</w:t>
      </w:r>
    </w:p>
    <w:p w14:paraId="0C0AA81C" w14:textId="77777777" w:rsidR="0072299E" w:rsidRPr="004E297E" w:rsidRDefault="003960E7" w:rsidP="004E297E">
      <w:pPr>
        <w:jc w:val="both"/>
        <w:rPr>
          <w:rFonts w:ascii="Tahoma" w:hAnsi="Tahoma" w:cs="Tahoma"/>
          <w:lang w:val="en-GB"/>
        </w:rPr>
      </w:pPr>
      <w:r w:rsidRPr="003960E7">
        <w:rPr>
          <w:rFonts w:ascii="Tahoma" w:hAnsi="Tahoma" w:cs="Tahoma"/>
          <w:lang w:val="en-GB"/>
        </w:rPr>
        <w:t xml:space="preserve">Primary </w:t>
      </w:r>
      <w:r w:rsidR="00D569A9">
        <w:rPr>
          <w:rFonts w:ascii="Tahoma" w:hAnsi="Tahoma" w:cs="Tahoma"/>
          <w:lang w:val="en-GB"/>
        </w:rPr>
        <w:t>E</w:t>
      </w:r>
      <w:r w:rsidRPr="003960E7">
        <w:rPr>
          <w:rFonts w:ascii="Tahoma" w:hAnsi="Tahoma" w:cs="Tahoma"/>
          <w:lang w:val="en-GB"/>
        </w:rPr>
        <w:t xml:space="preserve">ducation lasts six years with the official school age at this level being from 7 years to 12 years. This stage focuses on core literacy and numeracy skills, as well as preparation for secondary studies. Primary </w:t>
      </w:r>
      <w:r w:rsidR="00D569A9">
        <w:rPr>
          <w:rFonts w:ascii="Tahoma" w:hAnsi="Tahoma" w:cs="Tahoma"/>
          <w:lang w:val="en-GB"/>
        </w:rPr>
        <w:t>E</w:t>
      </w:r>
      <w:r w:rsidRPr="003960E7">
        <w:rPr>
          <w:rFonts w:ascii="Tahoma" w:hAnsi="Tahoma" w:cs="Tahoma"/>
          <w:lang w:val="en-GB"/>
        </w:rPr>
        <w:t xml:space="preserve">ducation ends with national examinations which determine </w:t>
      </w:r>
      <w:r w:rsidRPr="004E297E">
        <w:rPr>
          <w:rFonts w:ascii="Tahoma" w:hAnsi="Tahoma" w:cs="Tahoma"/>
          <w:lang w:val="en-GB"/>
        </w:rPr>
        <w:t xml:space="preserve">eligibility for proceeding to </w:t>
      </w:r>
      <w:r w:rsidR="00D569A9">
        <w:rPr>
          <w:rFonts w:ascii="Tahoma" w:hAnsi="Tahoma" w:cs="Tahoma"/>
          <w:lang w:val="en-GB"/>
        </w:rPr>
        <w:t>L</w:t>
      </w:r>
      <w:r w:rsidRPr="004E297E">
        <w:rPr>
          <w:rFonts w:ascii="Tahoma" w:hAnsi="Tahoma" w:cs="Tahoma"/>
          <w:lang w:val="en-GB"/>
        </w:rPr>
        <w:t xml:space="preserve">ower </w:t>
      </w:r>
      <w:r w:rsidR="00D569A9">
        <w:rPr>
          <w:rFonts w:ascii="Tahoma" w:hAnsi="Tahoma" w:cs="Tahoma"/>
          <w:lang w:val="en-GB"/>
        </w:rPr>
        <w:t>Secondary S</w:t>
      </w:r>
      <w:r w:rsidRPr="004E297E">
        <w:rPr>
          <w:rFonts w:ascii="Tahoma" w:hAnsi="Tahoma" w:cs="Tahoma"/>
          <w:lang w:val="en-GB"/>
        </w:rPr>
        <w:t>chool.</w:t>
      </w:r>
      <w:r w:rsidR="004E297E" w:rsidRPr="004E297E">
        <w:rPr>
          <w:rFonts w:ascii="Tahoma" w:hAnsi="Tahoma" w:cs="Tahoma"/>
          <w:lang w:val="en-GB"/>
        </w:rPr>
        <w:t xml:space="preserve"> T</w:t>
      </w:r>
      <w:r w:rsidRPr="00477E4E">
        <w:rPr>
          <w:rFonts w:ascii="Tahoma" w:hAnsi="Tahoma" w:cs="Tahoma"/>
          <w:lang w:val="en-GB"/>
        </w:rPr>
        <w:t xml:space="preserve">he </w:t>
      </w:r>
      <w:r w:rsidR="00D569A9">
        <w:rPr>
          <w:rFonts w:ascii="Tahoma" w:hAnsi="Tahoma" w:cs="Tahoma"/>
          <w:lang w:val="en-GB"/>
        </w:rPr>
        <w:t>NER</w:t>
      </w:r>
      <w:r w:rsidR="004E297E" w:rsidRPr="004E297E">
        <w:rPr>
          <w:rFonts w:ascii="Tahoma" w:hAnsi="Tahoma" w:cs="Tahoma"/>
          <w:lang w:val="en-GB"/>
        </w:rPr>
        <w:t xml:space="preserve"> in </w:t>
      </w:r>
      <w:r w:rsidR="00D569A9">
        <w:rPr>
          <w:rFonts w:ascii="Tahoma" w:hAnsi="Tahoma" w:cs="Tahoma"/>
          <w:lang w:val="en-GB"/>
        </w:rPr>
        <w:t>P</w:t>
      </w:r>
      <w:r w:rsidR="004E297E" w:rsidRPr="004E297E">
        <w:rPr>
          <w:rFonts w:ascii="Tahoma" w:hAnsi="Tahoma" w:cs="Tahoma"/>
          <w:lang w:val="en-GB"/>
        </w:rPr>
        <w:t xml:space="preserve">rimary </w:t>
      </w:r>
      <w:r w:rsidR="00D569A9">
        <w:rPr>
          <w:rFonts w:ascii="Tahoma" w:hAnsi="Tahoma" w:cs="Tahoma"/>
          <w:lang w:val="en-GB"/>
        </w:rPr>
        <w:t>E</w:t>
      </w:r>
      <w:r w:rsidR="004E297E" w:rsidRPr="004E297E">
        <w:rPr>
          <w:rFonts w:ascii="Tahoma" w:hAnsi="Tahoma" w:cs="Tahoma"/>
          <w:lang w:val="en-GB"/>
        </w:rPr>
        <w:t>ducation in 2015 was 96.9%</w:t>
      </w:r>
      <w:r w:rsidR="00D05423">
        <w:rPr>
          <w:rFonts w:ascii="Tahoma" w:hAnsi="Tahoma" w:cs="Tahoma"/>
          <w:lang w:val="en-GB"/>
        </w:rPr>
        <w:t>, up from 96.8% in 2014</w:t>
      </w:r>
      <w:r w:rsidR="004E297E" w:rsidRPr="004E297E">
        <w:rPr>
          <w:rFonts w:ascii="Tahoma" w:hAnsi="Tahoma" w:cs="Tahoma"/>
          <w:lang w:val="en-GB"/>
        </w:rPr>
        <w:t>.</w:t>
      </w:r>
      <w:r w:rsidR="0072299E">
        <w:rPr>
          <w:rFonts w:ascii="Tahoma" w:hAnsi="Tahoma" w:cs="Tahoma"/>
          <w:lang w:val="en-GB"/>
        </w:rPr>
        <w:t xml:space="preserve"> GER increased from 134.3% in 2014 to 135.3% in 2015.</w:t>
      </w:r>
    </w:p>
    <w:p w14:paraId="0FE0033B" w14:textId="77777777" w:rsidR="00691129" w:rsidRDefault="003960E7" w:rsidP="003960E7">
      <w:pPr>
        <w:jc w:val="both"/>
        <w:rPr>
          <w:rFonts w:ascii="Tahoma" w:hAnsi="Tahoma" w:cs="Tahoma"/>
          <w:lang w:val="en-GB"/>
        </w:rPr>
      </w:pPr>
      <w:r w:rsidRPr="003960E7">
        <w:rPr>
          <w:rFonts w:ascii="Tahoma" w:hAnsi="Tahoma" w:cs="Tahoma"/>
          <w:lang w:val="en-GB"/>
        </w:rPr>
        <w:t xml:space="preserve">Secondary Education also lasts for six years with the official age for this level being from 13 years to 18 years of age. It is subdivided into </w:t>
      </w:r>
      <w:r w:rsidR="00D569A9">
        <w:rPr>
          <w:rFonts w:ascii="Tahoma" w:hAnsi="Tahoma" w:cs="Tahoma"/>
          <w:lang w:val="en-GB"/>
        </w:rPr>
        <w:t>Lower S</w:t>
      </w:r>
      <w:r w:rsidRPr="003960E7">
        <w:rPr>
          <w:rFonts w:ascii="Tahoma" w:hAnsi="Tahoma" w:cs="Tahoma"/>
          <w:lang w:val="en-GB"/>
        </w:rPr>
        <w:t xml:space="preserve">econdary (the first three years) and </w:t>
      </w:r>
      <w:r w:rsidR="00D569A9">
        <w:rPr>
          <w:rFonts w:ascii="Tahoma" w:hAnsi="Tahoma" w:cs="Tahoma"/>
          <w:lang w:val="en-GB"/>
        </w:rPr>
        <w:t>U</w:t>
      </w:r>
      <w:r w:rsidRPr="003960E7">
        <w:rPr>
          <w:rFonts w:ascii="Tahoma" w:hAnsi="Tahoma" w:cs="Tahoma"/>
          <w:lang w:val="en-GB"/>
        </w:rPr>
        <w:t xml:space="preserve">pper </w:t>
      </w:r>
      <w:r w:rsidR="00D569A9">
        <w:rPr>
          <w:rFonts w:ascii="Tahoma" w:hAnsi="Tahoma" w:cs="Tahoma"/>
          <w:lang w:val="en-GB"/>
        </w:rPr>
        <w:t>S</w:t>
      </w:r>
      <w:r w:rsidRPr="003960E7">
        <w:rPr>
          <w:rFonts w:ascii="Tahoma" w:hAnsi="Tahoma" w:cs="Tahoma"/>
          <w:lang w:val="en-GB"/>
        </w:rPr>
        <w:t xml:space="preserve">econdary (the last three years), both culminating in national examinations which respectively determine eligibility for </w:t>
      </w:r>
      <w:r w:rsidR="00D569A9">
        <w:rPr>
          <w:rFonts w:ascii="Tahoma" w:hAnsi="Tahoma" w:cs="Tahoma"/>
          <w:lang w:val="en-GB"/>
        </w:rPr>
        <w:t>Upper S</w:t>
      </w:r>
      <w:r w:rsidRPr="003960E7">
        <w:rPr>
          <w:rFonts w:ascii="Tahoma" w:hAnsi="Tahoma" w:cs="Tahoma"/>
          <w:lang w:val="en-GB"/>
        </w:rPr>
        <w:t xml:space="preserve">econdary, and secondary graduation or entry to </w:t>
      </w:r>
      <w:r w:rsidR="00D569A9">
        <w:rPr>
          <w:rFonts w:ascii="Tahoma" w:hAnsi="Tahoma" w:cs="Tahoma"/>
          <w:lang w:val="en-GB"/>
        </w:rPr>
        <w:t>H</w:t>
      </w:r>
      <w:r w:rsidRPr="003960E7">
        <w:rPr>
          <w:rFonts w:ascii="Tahoma" w:hAnsi="Tahoma" w:cs="Tahoma"/>
          <w:lang w:val="en-GB"/>
        </w:rPr>
        <w:t xml:space="preserve">igher </w:t>
      </w:r>
      <w:r w:rsidR="00D569A9">
        <w:rPr>
          <w:rFonts w:ascii="Tahoma" w:hAnsi="Tahoma" w:cs="Tahoma"/>
          <w:lang w:val="en-GB"/>
        </w:rPr>
        <w:t>Education. At Upper S</w:t>
      </w:r>
      <w:r w:rsidRPr="003960E7">
        <w:rPr>
          <w:rFonts w:ascii="Tahoma" w:hAnsi="Tahoma" w:cs="Tahoma"/>
          <w:lang w:val="en-GB"/>
        </w:rPr>
        <w:t xml:space="preserve">econdary level students choose between continuing in general </w:t>
      </w:r>
      <w:r w:rsidR="00D569A9">
        <w:rPr>
          <w:rFonts w:ascii="Tahoma" w:hAnsi="Tahoma" w:cs="Tahoma"/>
          <w:lang w:val="en-GB"/>
        </w:rPr>
        <w:t xml:space="preserve">Secondary </w:t>
      </w:r>
      <w:r w:rsidR="00134F4D">
        <w:rPr>
          <w:rFonts w:ascii="Tahoma" w:hAnsi="Tahoma" w:cs="Tahoma"/>
          <w:lang w:val="en-GB"/>
        </w:rPr>
        <w:t>S</w:t>
      </w:r>
      <w:r w:rsidR="00134F4D" w:rsidRPr="003960E7">
        <w:rPr>
          <w:rFonts w:ascii="Tahoma" w:hAnsi="Tahoma" w:cs="Tahoma"/>
          <w:lang w:val="en-GB"/>
        </w:rPr>
        <w:t>chools</w:t>
      </w:r>
      <w:r w:rsidRPr="003960E7">
        <w:rPr>
          <w:rFonts w:ascii="Tahoma" w:hAnsi="Tahoma" w:cs="Tahoma"/>
          <w:lang w:val="en-GB"/>
        </w:rPr>
        <w:t xml:space="preserve"> and enrolling in a Technical Secondary School (TSS) or a Teacher Training Colleges (TTC) to train as a primary teacher.</w:t>
      </w:r>
    </w:p>
    <w:p w14:paraId="1FE8A5BC" w14:textId="77777777" w:rsidR="00691129" w:rsidRDefault="00D569A9" w:rsidP="003960E7">
      <w:pPr>
        <w:jc w:val="both"/>
        <w:rPr>
          <w:rFonts w:ascii="Tahoma" w:hAnsi="Tahoma" w:cs="Tahoma"/>
          <w:lang w:val="en-GB"/>
        </w:rPr>
      </w:pPr>
      <w:r>
        <w:rPr>
          <w:rFonts w:ascii="Tahoma" w:hAnsi="Tahoma" w:cs="Tahoma"/>
          <w:lang w:val="en-GB"/>
        </w:rPr>
        <w:t>The NER in 2015 was 22.3% in Lower Secondary</w:t>
      </w:r>
      <w:r w:rsidR="00691129">
        <w:rPr>
          <w:rFonts w:ascii="Tahoma" w:hAnsi="Tahoma" w:cs="Tahoma"/>
          <w:lang w:val="en-GB"/>
        </w:rPr>
        <w:t>, down from 22.8% in 2014;</w:t>
      </w:r>
      <w:r>
        <w:rPr>
          <w:rFonts w:ascii="Tahoma" w:hAnsi="Tahoma" w:cs="Tahoma"/>
          <w:lang w:val="en-GB"/>
        </w:rPr>
        <w:t xml:space="preserve"> and 20.9% in Upper Secondary Education</w:t>
      </w:r>
      <w:r w:rsidR="006431C8">
        <w:rPr>
          <w:rFonts w:ascii="Tahoma" w:hAnsi="Tahoma" w:cs="Tahoma"/>
          <w:lang w:val="en-GB"/>
        </w:rPr>
        <w:t>,</w:t>
      </w:r>
      <w:r w:rsidR="00691129">
        <w:rPr>
          <w:rFonts w:ascii="Tahoma" w:hAnsi="Tahoma" w:cs="Tahoma"/>
          <w:lang w:val="en-GB"/>
        </w:rPr>
        <w:t xml:space="preserve"> down from 27.3% in 2014</w:t>
      </w:r>
      <w:r>
        <w:rPr>
          <w:rFonts w:ascii="Tahoma" w:hAnsi="Tahoma" w:cs="Tahoma"/>
          <w:lang w:val="en-GB"/>
        </w:rPr>
        <w:t>.</w:t>
      </w:r>
      <w:r w:rsidR="00691129">
        <w:rPr>
          <w:rFonts w:ascii="Tahoma" w:hAnsi="Tahoma" w:cs="Tahoma"/>
          <w:lang w:val="en-GB"/>
        </w:rPr>
        <w:t xml:space="preserve"> The GER in Lower Secondary </w:t>
      </w:r>
      <w:r w:rsidR="00691129">
        <w:rPr>
          <w:rFonts w:ascii="Tahoma" w:hAnsi="Tahoma" w:cs="Tahoma"/>
          <w:lang w:val="en-GB"/>
        </w:rPr>
        <w:lastRenderedPageBreak/>
        <w:t>decreased from 46.6% in 2014 to 45.9% in 2015. The GER in Upper Secondary decreased to 33.2% in 2015 from 34.4% in 2014.</w:t>
      </w:r>
    </w:p>
    <w:p w14:paraId="3B2AD2B9" w14:textId="77777777" w:rsidR="004E297E" w:rsidRPr="00477E4E" w:rsidRDefault="004E297E" w:rsidP="004E297E">
      <w:pPr>
        <w:jc w:val="both"/>
        <w:rPr>
          <w:rFonts w:ascii="Tahoma" w:hAnsi="Tahoma" w:cs="Tahoma"/>
          <w:lang w:val="en-GB"/>
        </w:rPr>
      </w:pPr>
      <w:r w:rsidRPr="00477E4E">
        <w:rPr>
          <w:rFonts w:ascii="Tahoma" w:hAnsi="Tahoma" w:cs="Tahoma"/>
          <w:lang w:val="en-GB"/>
        </w:rPr>
        <w:t>To increase access, school construction was done using both government budget and unconventional method involving the community in construction works. In the Financial Year 201</w:t>
      </w:r>
      <w:r w:rsidRPr="004E297E">
        <w:rPr>
          <w:rFonts w:ascii="Tahoma" w:hAnsi="Tahoma" w:cs="Tahoma"/>
          <w:lang w:val="en-GB"/>
        </w:rPr>
        <w:t>5</w:t>
      </w:r>
      <w:r w:rsidRPr="00477E4E">
        <w:rPr>
          <w:rFonts w:ascii="Tahoma" w:hAnsi="Tahoma" w:cs="Tahoma"/>
          <w:lang w:val="en-GB"/>
        </w:rPr>
        <w:t>/201</w:t>
      </w:r>
      <w:r w:rsidRPr="004E297E">
        <w:rPr>
          <w:rFonts w:ascii="Tahoma" w:hAnsi="Tahoma" w:cs="Tahoma"/>
          <w:lang w:val="en-GB"/>
        </w:rPr>
        <w:t>6</w:t>
      </w:r>
      <w:r w:rsidRPr="00477E4E">
        <w:rPr>
          <w:rFonts w:ascii="Tahoma" w:hAnsi="Tahoma" w:cs="Tahoma"/>
          <w:lang w:val="en-GB"/>
        </w:rPr>
        <w:t xml:space="preserve">, </w:t>
      </w:r>
      <w:r w:rsidRPr="004E297E">
        <w:rPr>
          <w:rFonts w:ascii="Tahoma" w:hAnsi="Tahoma" w:cs="Tahoma"/>
          <w:lang w:val="en-GB"/>
        </w:rPr>
        <w:t>934</w:t>
      </w:r>
      <w:r w:rsidRPr="00477E4E">
        <w:rPr>
          <w:rFonts w:ascii="Tahoma" w:hAnsi="Tahoma" w:cs="Tahoma"/>
          <w:lang w:val="en-GB"/>
        </w:rPr>
        <w:t xml:space="preserve"> classrooms and </w:t>
      </w:r>
      <w:r w:rsidRPr="004E297E">
        <w:rPr>
          <w:rFonts w:ascii="Tahoma" w:hAnsi="Tahoma" w:cs="Tahoma"/>
          <w:lang w:val="en-GB"/>
        </w:rPr>
        <w:t>1</w:t>
      </w:r>
      <w:r w:rsidRPr="00477E4E">
        <w:rPr>
          <w:rFonts w:ascii="Tahoma" w:hAnsi="Tahoma" w:cs="Tahoma"/>
          <w:lang w:val="en-GB"/>
        </w:rPr>
        <w:t>,</w:t>
      </w:r>
      <w:r w:rsidRPr="004E297E">
        <w:rPr>
          <w:rFonts w:ascii="Tahoma" w:hAnsi="Tahoma" w:cs="Tahoma"/>
          <w:lang w:val="en-GB"/>
        </w:rPr>
        <w:t>466 l</w:t>
      </w:r>
      <w:r w:rsidRPr="00477E4E">
        <w:rPr>
          <w:rFonts w:ascii="Tahoma" w:hAnsi="Tahoma" w:cs="Tahoma"/>
          <w:lang w:val="en-GB"/>
        </w:rPr>
        <w:t xml:space="preserve">atrines were constructed. </w:t>
      </w:r>
      <w:r w:rsidRPr="004E297E">
        <w:rPr>
          <w:rFonts w:ascii="Tahoma" w:hAnsi="Tahoma" w:cs="Tahoma"/>
          <w:lang w:val="en-GB"/>
        </w:rPr>
        <w:t>21,482</w:t>
      </w:r>
      <w:r w:rsidRPr="00477E4E">
        <w:rPr>
          <w:rFonts w:ascii="Tahoma" w:hAnsi="Tahoma" w:cs="Tahoma"/>
          <w:lang w:val="en-GB"/>
        </w:rPr>
        <w:t xml:space="preserve"> desks for students</w:t>
      </w:r>
      <w:r>
        <w:rPr>
          <w:rFonts w:ascii="Tahoma" w:hAnsi="Tahoma" w:cs="Tahoma"/>
          <w:lang w:val="en-GB"/>
        </w:rPr>
        <w:t xml:space="preserve">, </w:t>
      </w:r>
      <w:r w:rsidRPr="004E297E">
        <w:rPr>
          <w:rFonts w:ascii="Tahoma" w:hAnsi="Tahoma" w:cs="Tahoma"/>
          <w:lang w:val="en-GB"/>
        </w:rPr>
        <w:t>3,814 chairs and 1,652</w:t>
      </w:r>
      <w:r w:rsidRPr="00477E4E">
        <w:rPr>
          <w:rFonts w:ascii="Tahoma" w:hAnsi="Tahoma" w:cs="Tahoma"/>
          <w:lang w:val="en-GB"/>
        </w:rPr>
        <w:t xml:space="preserve"> tables were provided to equip new</w:t>
      </w:r>
      <w:r>
        <w:rPr>
          <w:rFonts w:ascii="Tahoma" w:hAnsi="Tahoma" w:cs="Tahoma"/>
          <w:lang w:val="en-GB"/>
        </w:rPr>
        <w:t>ly</w:t>
      </w:r>
      <w:r w:rsidRPr="00477E4E">
        <w:rPr>
          <w:rFonts w:ascii="Tahoma" w:hAnsi="Tahoma" w:cs="Tahoma"/>
          <w:lang w:val="en-GB"/>
        </w:rPr>
        <w:t xml:space="preserve"> constructed classrooms. To address the issues of skills among school leavers, Rwanda </w:t>
      </w:r>
      <w:r w:rsidRPr="004E297E">
        <w:rPr>
          <w:rFonts w:ascii="Tahoma" w:hAnsi="Tahoma" w:cs="Tahoma"/>
          <w:lang w:val="en-GB"/>
        </w:rPr>
        <w:t xml:space="preserve">began implementing the new </w:t>
      </w:r>
      <w:r w:rsidRPr="00477E4E">
        <w:rPr>
          <w:rFonts w:ascii="Tahoma" w:hAnsi="Tahoma" w:cs="Tahoma"/>
          <w:lang w:val="en-GB"/>
        </w:rPr>
        <w:t>competency based curriculum.</w:t>
      </w:r>
    </w:p>
    <w:p w14:paraId="74E2CA3C" w14:textId="77777777" w:rsidR="003960E7" w:rsidRDefault="003960E7" w:rsidP="003960E7">
      <w:pPr>
        <w:jc w:val="both"/>
        <w:rPr>
          <w:rFonts w:ascii="Tahoma" w:hAnsi="Tahoma" w:cs="Tahoma"/>
          <w:lang w:val="en-GB"/>
        </w:rPr>
      </w:pPr>
      <w:r w:rsidRPr="003960E7">
        <w:rPr>
          <w:rFonts w:ascii="Tahoma" w:hAnsi="Tahoma" w:cs="Tahoma"/>
          <w:lang w:val="en-GB"/>
        </w:rPr>
        <w:t>Technical and Vocational Education and Training (TVET) provides young people and the unemployed with the skills to gain productive employment and also provides those already in employment with an opportunity to upgrade their skills, including entrepreneurs and those wishing to work for themselves. TVET is delivered through the Technical Secondary Schools (TSSs), Vocational Training Centres (VTCs) and Integrated Polytechnic Regional Centres (IPRCs).</w:t>
      </w:r>
    </w:p>
    <w:p w14:paraId="3B75677E" w14:textId="77777777" w:rsidR="003960E7" w:rsidRPr="00477E4E" w:rsidRDefault="003960E7" w:rsidP="00A63E41">
      <w:pPr>
        <w:jc w:val="both"/>
        <w:rPr>
          <w:rFonts w:ascii="Tahoma" w:hAnsi="Tahoma" w:cs="Tahoma"/>
          <w:lang w:val="en-GB"/>
        </w:rPr>
      </w:pPr>
      <w:r w:rsidRPr="00477E4E">
        <w:rPr>
          <w:rFonts w:ascii="Tahoma" w:hAnsi="Tahoma" w:cs="Tahoma"/>
          <w:lang w:val="en-GB"/>
        </w:rPr>
        <w:t>Rwanda envisions becoming</w:t>
      </w:r>
      <w:r w:rsidR="0072512C">
        <w:rPr>
          <w:rFonts w:ascii="Tahoma" w:hAnsi="Tahoma" w:cs="Tahoma"/>
          <w:lang w:val="en-GB"/>
        </w:rPr>
        <w:t xml:space="preserve"> a</w:t>
      </w:r>
      <w:r w:rsidRPr="00477E4E">
        <w:rPr>
          <w:rFonts w:ascii="Tahoma" w:hAnsi="Tahoma" w:cs="Tahoma"/>
          <w:lang w:val="en-GB"/>
        </w:rPr>
        <w:t xml:space="preserve"> knowledge based economy</w:t>
      </w:r>
      <w:r w:rsidR="00A63E41">
        <w:rPr>
          <w:rFonts w:ascii="Tahoma" w:hAnsi="Tahoma" w:cs="Tahoma"/>
          <w:lang w:val="en-GB"/>
        </w:rPr>
        <w:t xml:space="preserve">. To help achieve this ideally by 2017 </w:t>
      </w:r>
      <w:r w:rsidRPr="00477E4E">
        <w:rPr>
          <w:rFonts w:ascii="Tahoma" w:hAnsi="Tahoma" w:cs="Tahoma"/>
          <w:lang w:val="en-GB"/>
        </w:rPr>
        <w:t>60% of graduates completing Nine Year Basic Education</w:t>
      </w:r>
      <w:r w:rsidR="00A63E41">
        <w:rPr>
          <w:rFonts w:ascii="Tahoma" w:hAnsi="Tahoma" w:cs="Tahoma"/>
          <w:lang w:val="en-GB"/>
        </w:rPr>
        <w:t xml:space="preserve"> will enrol</w:t>
      </w:r>
      <w:r w:rsidRPr="00477E4E">
        <w:rPr>
          <w:rFonts w:ascii="Tahoma" w:hAnsi="Tahoma" w:cs="Tahoma"/>
          <w:lang w:val="en-GB"/>
        </w:rPr>
        <w:t xml:space="preserve"> into TVET. To achieve this, much was done to improve TVET facilities, competency based curricula have been developed and implemented to serve the needs of industry</w:t>
      </w:r>
      <w:r w:rsidR="00134F4D" w:rsidRPr="00A63E41">
        <w:rPr>
          <w:rFonts w:ascii="Tahoma" w:hAnsi="Tahoma" w:cs="Tahoma"/>
          <w:lang w:val="en-GB"/>
        </w:rPr>
        <w:t xml:space="preserve">. </w:t>
      </w:r>
      <w:r w:rsidRPr="00477E4E">
        <w:rPr>
          <w:rFonts w:ascii="Tahoma" w:hAnsi="Tahoma" w:cs="Tahoma"/>
          <w:lang w:val="en-GB"/>
        </w:rPr>
        <w:t xml:space="preserve">TVET </w:t>
      </w:r>
      <w:r w:rsidR="00134F4D" w:rsidRPr="00A63E41">
        <w:rPr>
          <w:rFonts w:ascii="Tahoma" w:hAnsi="Tahoma" w:cs="Tahoma"/>
          <w:lang w:val="en-GB"/>
        </w:rPr>
        <w:t xml:space="preserve">has been promoted </w:t>
      </w:r>
      <w:r w:rsidRPr="00477E4E">
        <w:rPr>
          <w:rFonts w:ascii="Tahoma" w:hAnsi="Tahoma" w:cs="Tahoma"/>
          <w:lang w:val="en-GB"/>
        </w:rPr>
        <w:t>through role models and successful entrepreneurs</w:t>
      </w:r>
      <w:r w:rsidR="00134F4D" w:rsidRPr="00A63E41">
        <w:rPr>
          <w:rFonts w:ascii="Tahoma" w:hAnsi="Tahoma" w:cs="Tahoma"/>
          <w:lang w:val="en-GB"/>
        </w:rPr>
        <w:t>. 94,373 students were enrolled in TVET in 2015.</w:t>
      </w:r>
    </w:p>
    <w:p w14:paraId="221024D1" w14:textId="77777777" w:rsidR="003960E7" w:rsidRPr="00477E4E" w:rsidRDefault="003960E7" w:rsidP="00270C64">
      <w:pPr>
        <w:jc w:val="both"/>
        <w:rPr>
          <w:rFonts w:ascii="Tahoma" w:hAnsi="Tahoma" w:cs="Tahoma"/>
          <w:lang w:val="en-GB"/>
        </w:rPr>
      </w:pPr>
      <w:r w:rsidRPr="00477E4E">
        <w:rPr>
          <w:rFonts w:ascii="Tahoma" w:hAnsi="Tahoma" w:cs="Tahoma"/>
          <w:lang w:val="en-GB"/>
        </w:rPr>
        <w:t>To promote science and technology, the Ministry of Education recorded great achievements in organizing science competition, distribution of science kits an</w:t>
      </w:r>
      <w:r w:rsidR="00270C64" w:rsidRPr="00270C64">
        <w:rPr>
          <w:rFonts w:ascii="Tahoma" w:hAnsi="Tahoma" w:cs="Tahoma"/>
          <w:lang w:val="en-GB"/>
        </w:rPr>
        <w:t>d construction of laboratories.</w:t>
      </w:r>
      <w:r w:rsidR="00270C64">
        <w:rPr>
          <w:rFonts w:ascii="Tahoma" w:hAnsi="Tahoma" w:cs="Tahoma"/>
          <w:lang w:val="en-GB"/>
        </w:rPr>
        <w:t xml:space="preserve"> 18.9% of </w:t>
      </w:r>
      <w:r w:rsidR="00270C64" w:rsidRPr="00270C64">
        <w:rPr>
          <w:rFonts w:ascii="Tahoma" w:hAnsi="Tahoma" w:cs="Tahoma"/>
          <w:lang w:val="en-GB"/>
        </w:rPr>
        <w:t>students were enrolled in science and technology fields at upper secondary and tertiary education level</w:t>
      </w:r>
      <w:r w:rsidR="00270C64">
        <w:rPr>
          <w:rFonts w:ascii="Tahoma" w:hAnsi="Tahoma" w:cs="Tahoma"/>
          <w:lang w:val="en-GB"/>
        </w:rPr>
        <w:t>.</w:t>
      </w:r>
      <w:r w:rsidR="00270C64" w:rsidRPr="00270C64">
        <w:rPr>
          <w:rFonts w:ascii="Tahoma" w:hAnsi="Tahoma" w:cs="Tahoma"/>
          <w:lang w:val="en-GB"/>
        </w:rPr>
        <w:t xml:space="preserve"> </w:t>
      </w:r>
      <w:r w:rsidRPr="00477E4E">
        <w:rPr>
          <w:rFonts w:ascii="Tahoma" w:hAnsi="Tahoma" w:cs="Tahoma"/>
          <w:lang w:val="en-GB"/>
        </w:rPr>
        <w:t xml:space="preserve"> </w:t>
      </w:r>
    </w:p>
    <w:p w14:paraId="606129CF" w14:textId="77777777" w:rsidR="003960E7" w:rsidRPr="003960E7" w:rsidRDefault="003960E7" w:rsidP="003960E7">
      <w:pPr>
        <w:jc w:val="both"/>
        <w:rPr>
          <w:rFonts w:ascii="Tahoma" w:hAnsi="Tahoma" w:cs="Tahoma"/>
          <w:lang w:val="en-GB"/>
        </w:rPr>
      </w:pPr>
      <w:r w:rsidRPr="003960E7">
        <w:rPr>
          <w:rFonts w:ascii="Tahoma" w:hAnsi="Tahoma" w:cs="Tahoma"/>
          <w:lang w:val="en-GB"/>
        </w:rPr>
        <w:t xml:space="preserve">At tertiary level students can pursue their studies in a range of academic directions or opt to enter an array of technical or vocational fields. Undergraduate degrees currently require four years to complete, though the option of reducing this to three years in order to harmonise with the rest of the region is being explored. </w:t>
      </w:r>
    </w:p>
    <w:p w14:paraId="0A8DD9C5" w14:textId="77777777" w:rsidR="00477E4E" w:rsidRPr="00477E4E" w:rsidRDefault="00477E4E" w:rsidP="00D82394">
      <w:pPr>
        <w:jc w:val="both"/>
        <w:rPr>
          <w:rFonts w:ascii="Tahoma" w:hAnsi="Tahoma" w:cs="Tahoma"/>
          <w:lang w:val="en-GB"/>
        </w:rPr>
      </w:pPr>
      <w:r w:rsidRPr="00477E4E">
        <w:rPr>
          <w:rFonts w:ascii="Tahoma" w:hAnsi="Tahoma" w:cs="Tahoma"/>
          <w:lang w:val="en-GB"/>
        </w:rPr>
        <w:t xml:space="preserve">Higher Education also grew tremendously: today the sub-sector has </w:t>
      </w:r>
      <w:r w:rsidR="00D82394" w:rsidRPr="00D82394">
        <w:rPr>
          <w:rFonts w:ascii="Tahoma" w:hAnsi="Tahoma" w:cs="Tahoma"/>
          <w:lang w:val="en-GB"/>
        </w:rPr>
        <w:t>86,315</w:t>
      </w:r>
      <w:r w:rsidRPr="00477E4E">
        <w:rPr>
          <w:rFonts w:ascii="Tahoma" w:hAnsi="Tahoma" w:cs="Tahoma"/>
          <w:lang w:val="en-GB"/>
        </w:rPr>
        <w:t xml:space="preserve"> students (where 5</w:t>
      </w:r>
      <w:r w:rsidR="00D82394" w:rsidRPr="00D82394">
        <w:rPr>
          <w:rFonts w:ascii="Tahoma" w:hAnsi="Tahoma" w:cs="Tahoma"/>
          <w:lang w:val="en-GB"/>
        </w:rPr>
        <w:t>8</w:t>
      </w:r>
      <w:r w:rsidRPr="00477E4E">
        <w:rPr>
          <w:rFonts w:ascii="Tahoma" w:hAnsi="Tahoma" w:cs="Tahoma"/>
          <w:lang w:val="en-GB"/>
        </w:rPr>
        <w:t xml:space="preserve">% are in private HLIs). The University of Rwanda, a newly established comprehensive university, has played its role as a catalyst to drive forward quality reforms by improving quality assurance, consolidating the skills and expertise of academic staff, creating centres of excellence for teaching and research, and improving utilization of resources and modern facilities. </w:t>
      </w:r>
      <w:r w:rsidR="00516791">
        <w:rPr>
          <w:rFonts w:ascii="Tahoma" w:hAnsi="Tahoma" w:cs="Tahoma"/>
          <w:lang w:val="en-GB"/>
        </w:rPr>
        <w:t xml:space="preserve">The </w:t>
      </w:r>
      <w:r w:rsidR="00516791" w:rsidRPr="00516791">
        <w:rPr>
          <w:rFonts w:ascii="Tahoma" w:hAnsi="Tahoma" w:cs="Tahoma"/>
          <w:lang w:val="en-GB"/>
        </w:rPr>
        <w:t>University of Rwanda launched a new school, t</w:t>
      </w:r>
      <w:r w:rsidR="00516791">
        <w:rPr>
          <w:rFonts w:ascii="Tahoma" w:hAnsi="Tahoma" w:cs="Tahoma"/>
          <w:lang w:val="en-GB"/>
        </w:rPr>
        <w:t>he School of Mining and Geology.</w:t>
      </w:r>
    </w:p>
    <w:p w14:paraId="7EE81FCC" w14:textId="77777777" w:rsidR="005A2D34" w:rsidRPr="00D82394" w:rsidRDefault="00477E4E" w:rsidP="00D82394">
      <w:pPr>
        <w:jc w:val="both"/>
        <w:rPr>
          <w:rFonts w:ascii="Tahoma" w:hAnsi="Tahoma" w:cs="Tahoma"/>
          <w:lang w:val="en-GB"/>
        </w:rPr>
      </w:pPr>
      <w:r w:rsidRPr="003960E7">
        <w:rPr>
          <w:rFonts w:ascii="Tahoma" w:hAnsi="Tahoma" w:cs="Tahoma"/>
          <w:lang w:val="en-GB"/>
        </w:rPr>
        <w:t>Overall, the Government of Rwanda recognizes that education is a critical investment for the country’s future growth and development. In 201</w:t>
      </w:r>
      <w:r w:rsidR="003960E7" w:rsidRPr="003960E7">
        <w:rPr>
          <w:rFonts w:ascii="Tahoma" w:hAnsi="Tahoma" w:cs="Tahoma"/>
          <w:lang w:val="en-GB"/>
        </w:rPr>
        <w:t>5</w:t>
      </w:r>
      <w:r w:rsidRPr="003960E7">
        <w:rPr>
          <w:rFonts w:ascii="Tahoma" w:hAnsi="Tahoma" w:cs="Tahoma"/>
          <w:lang w:val="en-GB"/>
        </w:rPr>
        <w:t>/201</w:t>
      </w:r>
      <w:r w:rsidR="003960E7" w:rsidRPr="003960E7">
        <w:rPr>
          <w:rFonts w:ascii="Tahoma" w:hAnsi="Tahoma" w:cs="Tahoma"/>
          <w:lang w:val="en-GB"/>
        </w:rPr>
        <w:t>6</w:t>
      </w:r>
      <w:r w:rsidRPr="003960E7">
        <w:rPr>
          <w:rFonts w:ascii="Tahoma" w:hAnsi="Tahoma" w:cs="Tahoma"/>
          <w:lang w:val="en-GB"/>
        </w:rPr>
        <w:t xml:space="preserve">, the Ministry of </w:t>
      </w:r>
      <w:r w:rsidR="003960E7" w:rsidRPr="003960E7">
        <w:rPr>
          <w:rFonts w:ascii="Tahoma" w:hAnsi="Tahoma" w:cs="Tahoma"/>
          <w:lang w:val="en-GB"/>
        </w:rPr>
        <w:t>E</w:t>
      </w:r>
      <w:r w:rsidRPr="003960E7">
        <w:rPr>
          <w:rFonts w:ascii="Tahoma" w:hAnsi="Tahoma" w:cs="Tahoma"/>
          <w:lang w:val="en-GB"/>
        </w:rPr>
        <w:t>ducation recorded many achievements,</w:t>
      </w:r>
      <w:r w:rsidRPr="00D82394">
        <w:rPr>
          <w:rFonts w:ascii="Tahoma" w:hAnsi="Tahoma" w:cs="Tahoma"/>
          <w:lang w:val="en-GB"/>
        </w:rPr>
        <w:t xml:space="preserve"> including increased access, improved quality of education, </w:t>
      </w:r>
      <w:r w:rsidR="00516791">
        <w:rPr>
          <w:rFonts w:ascii="Tahoma" w:hAnsi="Tahoma" w:cs="Tahoma"/>
          <w:lang w:val="en-GB"/>
        </w:rPr>
        <w:t xml:space="preserve">expansion of the University of Rwanda, </w:t>
      </w:r>
      <w:r w:rsidR="00D82394">
        <w:rPr>
          <w:rFonts w:ascii="Tahoma" w:hAnsi="Tahoma" w:cs="Tahoma"/>
          <w:lang w:val="en-GB"/>
        </w:rPr>
        <w:t>s</w:t>
      </w:r>
      <w:r w:rsidRPr="00D82394">
        <w:rPr>
          <w:rFonts w:ascii="Tahoma" w:hAnsi="Tahoma" w:cs="Tahoma"/>
          <w:lang w:val="en-GB"/>
        </w:rPr>
        <w:t>trengthened Information and Communication</w:t>
      </w:r>
      <w:r w:rsidRPr="00477E4E">
        <w:rPr>
          <w:rFonts w:ascii="Tahoma" w:hAnsi="Tahoma" w:cs="Tahoma"/>
          <w:lang w:val="en-GB"/>
        </w:rPr>
        <w:t xml:space="preserve"> </w:t>
      </w:r>
      <w:r w:rsidRPr="00D82394">
        <w:rPr>
          <w:rFonts w:ascii="Tahoma" w:hAnsi="Tahoma" w:cs="Tahoma"/>
          <w:lang w:val="en-GB"/>
        </w:rPr>
        <w:t xml:space="preserve">Technology, science, research and innovation in education including the promotion of centres of excellence and </w:t>
      </w:r>
      <w:bookmarkStart w:id="0" w:name="_GoBack"/>
      <w:bookmarkEnd w:id="0"/>
      <w:r w:rsidRPr="00D82394">
        <w:rPr>
          <w:rFonts w:ascii="Tahoma" w:hAnsi="Tahoma" w:cs="Tahoma"/>
          <w:lang w:val="en-GB"/>
        </w:rPr>
        <w:t>research partnerships.</w:t>
      </w:r>
    </w:p>
    <w:sectPr w:rsidR="005A2D34" w:rsidRPr="00D82394">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B625C" w14:textId="77777777" w:rsidR="00E27C9A" w:rsidRDefault="00E27C9A" w:rsidP="004724C5">
      <w:pPr>
        <w:spacing w:after="0" w:line="240" w:lineRule="auto"/>
      </w:pPr>
      <w:r>
        <w:separator/>
      </w:r>
    </w:p>
  </w:endnote>
  <w:endnote w:type="continuationSeparator" w:id="0">
    <w:p w14:paraId="0B4D1EFE" w14:textId="77777777" w:rsidR="00E27C9A" w:rsidRDefault="00E27C9A" w:rsidP="0047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82013"/>
      <w:docPartObj>
        <w:docPartGallery w:val="Page Numbers (Bottom of Page)"/>
        <w:docPartUnique/>
      </w:docPartObj>
    </w:sdtPr>
    <w:sdtContent>
      <w:sdt>
        <w:sdtPr>
          <w:id w:val="1728636285"/>
          <w:docPartObj>
            <w:docPartGallery w:val="Page Numbers (Top of Page)"/>
            <w:docPartUnique/>
          </w:docPartObj>
        </w:sdtPr>
        <w:sdtContent>
          <w:p w14:paraId="02452E64" w14:textId="3D3384BE" w:rsidR="004724C5" w:rsidRDefault="004724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F092F4" w14:textId="77777777" w:rsidR="004724C5" w:rsidRDefault="00472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66436" w14:textId="77777777" w:rsidR="00E27C9A" w:rsidRDefault="00E27C9A" w:rsidP="004724C5">
      <w:pPr>
        <w:spacing w:after="0" w:line="240" w:lineRule="auto"/>
      </w:pPr>
      <w:r>
        <w:separator/>
      </w:r>
    </w:p>
  </w:footnote>
  <w:footnote w:type="continuationSeparator" w:id="0">
    <w:p w14:paraId="6748C685" w14:textId="77777777" w:rsidR="00E27C9A" w:rsidRDefault="00E27C9A" w:rsidP="004724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4E"/>
    <w:rsid w:val="000C152A"/>
    <w:rsid w:val="00134F4D"/>
    <w:rsid w:val="00181AEA"/>
    <w:rsid w:val="00232634"/>
    <w:rsid w:val="00270C64"/>
    <w:rsid w:val="003960E7"/>
    <w:rsid w:val="003D2613"/>
    <w:rsid w:val="004567AD"/>
    <w:rsid w:val="004724C5"/>
    <w:rsid w:val="00477E4E"/>
    <w:rsid w:val="004E297E"/>
    <w:rsid w:val="00510F78"/>
    <w:rsid w:val="00516791"/>
    <w:rsid w:val="005A2D34"/>
    <w:rsid w:val="005B65BF"/>
    <w:rsid w:val="006431C8"/>
    <w:rsid w:val="00643913"/>
    <w:rsid w:val="00691129"/>
    <w:rsid w:val="0072299E"/>
    <w:rsid w:val="0072512C"/>
    <w:rsid w:val="007920F5"/>
    <w:rsid w:val="007B2FF0"/>
    <w:rsid w:val="0080755F"/>
    <w:rsid w:val="009013D0"/>
    <w:rsid w:val="009237E5"/>
    <w:rsid w:val="00937164"/>
    <w:rsid w:val="00A0563B"/>
    <w:rsid w:val="00A63E41"/>
    <w:rsid w:val="00A97882"/>
    <w:rsid w:val="00AF617C"/>
    <w:rsid w:val="00C35573"/>
    <w:rsid w:val="00D05423"/>
    <w:rsid w:val="00D569A9"/>
    <w:rsid w:val="00D82394"/>
    <w:rsid w:val="00DC2F96"/>
    <w:rsid w:val="00E27C9A"/>
    <w:rsid w:val="00E414B4"/>
    <w:rsid w:val="00FA757B"/>
    <w:rsid w:val="00FD14F9"/>
    <w:rsid w:val="00FF2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4D8E"/>
  <w15:docId w15:val="{A3D911D5-4AC1-47D6-99A9-4EF8CF16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E4E"/>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7E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7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E4E"/>
    <w:rPr>
      <w:rFonts w:ascii="Tahoma" w:hAnsi="Tahoma" w:cs="Tahoma"/>
      <w:sz w:val="16"/>
      <w:szCs w:val="16"/>
      <w:lang w:val="fr-FR"/>
    </w:rPr>
  </w:style>
  <w:style w:type="paragraph" w:customStyle="1" w:styleId="Default">
    <w:name w:val="Default"/>
    <w:rsid w:val="00477E4E"/>
    <w:pPr>
      <w:autoSpaceDE w:val="0"/>
      <w:autoSpaceDN w:val="0"/>
      <w:adjustRightInd w:val="0"/>
      <w:spacing w:after="0" w:line="240" w:lineRule="auto"/>
    </w:pPr>
    <w:rPr>
      <w:rFonts w:ascii="Arial" w:hAnsi="Arial" w:cs="Arial"/>
      <w:color w:val="000000"/>
      <w:sz w:val="24"/>
      <w:szCs w:val="24"/>
    </w:rPr>
  </w:style>
  <w:style w:type="paragraph" w:customStyle="1" w:styleId="Pa45">
    <w:name w:val="Pa45"/>
    <w:basedOn w:val="Default"/>
    <w:next w:val="Default"/>
    <w:uiPriority w:val="99"/>
    <w:rsid w:val="00477E4E"/>
    <w:pPr>
      <w:spacing w:line="191" w:lineRule="atLeast"/>
    </w:pPr>
    <w:rPr>
      <w:color w:val="auto"/>
    </w:rPr>
  </w:style>
  <w:style w:type="character" w:customStyle="1" w:styleId="A11">
    <w:name w:val="A11"/>
    <w:uiPriority w:val="99"/>
    <w:rsid w:val="00477E4E"/>
    <w:rPr>
      <w:b/>
      <w:bCs/>
      <w:color w:val="000000"/>
      <w:sz w:val="36"/>
      <w:szCs w:val="36"/>
    </w:rPr>
  </w:style>
  <w:style w:type="character" w:customStyle="1" w:styleId="A16">
    <w:name w:val="A16"/>
    <w:uiPriority w:val="99"/>
    <w:rsid w:val="00477E4E"/>
    <w:rPr>
      <w:color w:val="000000"/>
    </w:rPr>
  </w:style>
  <w:style w:type="character" w:customStyle="1" w:styleId="A9">
    <w:name w:val="A9"/>
    <w:uiPriority w:val="99"/>
    <w:rsid w:val="00477E4E"/>
    <w:rPr>
      <w:color w:val="000000"/>
      <w:sz w:val="20"/>
      <w:szCs w:val="20"/>
    </w:rPr>
  </w:style>
  <w:style w:type="paragraph" w:customStyle="1" w:styleId="Pa44">
    <w:name w:val="Pa44"/>
    <w:basedOn w:val="Default"/>
    <w:next w:val="Default"/>
    <w:uiPriority w:val="99"/>
    <w:rsid w:val="00477E4E"/>
    <w:pPr>
      <w:spacing w:line="221" w:lineRule="atLeast"/>
    </w:pPr>
    <w:rPr>
      <w:rFonts w:ascii="Tahoma" w:hAnsi="Tahoma" w:cs="Tahoma"/>
      <w:color w:val="auto"/>
    </w:rPr>
  </w:style>
  <w:style w:type="character" w:styleId="CommentReference">
    <w:name w:val="annotation reference"/>
    <w:basedOn w:val="DefaultParagraphFont"/>
    <w:uiPriority w:val="99"/>
    <w:semiHidden/>
    <w:unhideWhenUsed/>
    <w:rsid w:val="00FF271C"/>
    <w:rPr>
      <w:sz w:val="16"/>
      <w:szCs w:val="16"/>
    </w:rPr>
  </w:style>
  <w:style w:type="paragraph" w:styleId="CommentText">
    <w:name w:val="annotation text"/>
    <w:basedOn w:val="Normal"/>
    <w:link w:val="CommentTextChar"/>
    <w:uiPriority w:val="99"/>
    <w:semiHidden/>
    <w:unhideWhenUsed/>
    <w:rsid w:val="00FF271C"/>
    <w:pPr>
      <w:spacing w:line="240" w:lineRule="auto"/>
    </w:pPr>
    <w:rPr>
      <w:sz w:val="20"/>
      <w:szCs w:val="20"/>
    </w:rPr>
  </w:style>
  <w:style w:type="character" w:customStyle="1" w:styleId="CommentTextChar">
    <w:name w:val="Comment Text Char"/>
    <w:basedOn w:val="DefaultParagraphFont"/>
    <w:link w:val="CommentText"/>
    <w:uiPriority w:val="99"/>
    <w:semiHidden/>
    <w:rsid w:val="00FF271C"/>
    <w:rPr>
      <w:sz w:val="20"/>
      <w:szCs w:val="20"/>
      <w:lang w:val="fr-FR"/>
    </w:rPr>
  </w:style>
  <w:style w:type="paragraph" w:styleId="CommentSubject">
    <w:name w:val="annotation subject"/>
    <w:basedOn w:val="CommentText"/>
    <w:next w:val="CommentText"/>
    <w:link w:val="CommentSubjectChar"/>
    <w:uiPriority w:val="99"/>
    <w:semiHidden/>
    <w:unhideWhenUsed/>
    <w:rsid w:val="00FF271C"/>
    <w:rPr>
      <w:b/>
      <w:bCs/>
    </w:rPr>
  </w:style>
  <w:style w:type="character" w:customStyle="1" w:styleId="CommentSubjectChar">
    <w:name w:val="Comment Subject Char"/>
    <w:basedOn w:val="CommentTextChar"/>
    <w:link w:val="CommentSubject"/>
    <w:uiPriority w:val="99"/>
    <w:semiHidden/>
    <w:rsid w:val="00FF271C"/>
    <w:rPr>
      <w:b/>
      <w:bCs/>
      <w:sz w:val="20"/>
      <w:szCs w:val="20"/>
      <w:lang w:val="fr-FR"/>
    </w:rPr>
  </w:style>
  <w:style w:type="paragraph" w:styleId="Header">
    <w:name w:val="header"/>
    <w:basedOn w:val="Normal"/>
    <w:link w:val="HeaderChar"/>
    <w:uiPriority w:val="99"/>
    <w:unhideWhenUsed/>
    <w:rsid w:val="00472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C5"/>
    <w:rPr>
      <w:lang w:val="fr-FR"/>
    </w:rPr>
  </w:style>
  <w:style w:type="paragraph" w:styleId="Footer">
    <w:name w:val="footer"/>
    <w:basedOn w:val="Normal"/>
    <w:link w:val="FooterChar"/>
    <w:uiPriority w:val="99"/>
    <w:unhideWhenUsed/>
    <w:rsid w:val="00472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C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7329">
      <w:bodyDiv w:val="1"/>
      <w:marLeft w:val="0"/>
      <w:marRight w:val="0"/>
      <w:marTop w:val="0"/>
      <w:marBottom w:val="0"/>
      <w:divBdr>
        <w:top w:val="none" w:sz="0" w:space="0" w:color="auto"/>
        <w:left w:val="none" w:sz="0" w:space="0" w:color="auto"/>
        <w:bottom w:val="none" w:sz="0" w:space="0" w:color="auto"/>
        <w:right w:val="none" w:sz="0" w:space="0" w:color="auto"/>
      </w:divBdr>
    </w:div>
    <w:div w:id="197475183">
      <w:bodyDiv w:val="1"/>
      <w:marLeft w:val="0"/>
      <w:marRight w:val="0"/>
      <w:marTop w:val="0"/>
      <w:marBottom w:val="0"/>
      <w:divBdr>
        <w:top w:val="none" w:sz="0" w:space="0" w:color="auto"/>
        <w:left w:val="none" w:sz="0" w:space="0" w:color="auto"/>
        <w:bottom w:val="none" w:sz="0" w:space="0" w:color="auto"/>
        <w:right w:val="none" w:sz="0" w:space="0" w:color="auto"/>
      </w:divBdr>
    </w:div>
    <w:div w:id="275455681">
      <w:bodyDiv w:val="1"/>
      <w:marLeft w:val="0"/>
      <w:marRight w:val="0"/>
      <w:marTop w:val="0"/>
      <w:marBottom w:val="0"/>
      <w:divBdr>
        <w:top w:val="none" w:sz="0" w:space="0" w:color="auto"/>
        <w:left w:val="none" w:sz="0" w:space="0" w:color="auto"/>
        <w:bottom w:val="none" w:sz="0" w:space="0" w:color="auto"/>
        <w:right w:val="none" w:sz="0" w:space="0" w:color="auto"/>
      </w:divBdr>
    </w:div>
    <w:div w:id="347175406">
      <w:bodyDiv w:val="1"/>
      <w:marLeft w:val="0"/>
      <w:marRight w:val="0"/>
      <w:marTop w:val="0"/>
      <w:marBottom w:val="0"/>
      <w:divBdr>
        <w:top w:val="none" w:sz="0" w:space="0" w:color="auto"/>
        <w:left w:val="none" w:sz="0" w:space="0" w:color="auto"/>
        <w:bottom w:val="none" w:sz="0" w:space="0" w:color="auto"/>
        <w:right w:val="none" w:sz="0" w:space="0" w:color="auto"/>
      </w:divBdr>
    </w:div>
    <w:div w:id="433480380">
      <w:bodyDiv w:val="1"/>
      <w:marLeft w:val="0"/>
      <w:marRight w:val="0"/>
      <w:marTop w:val="0"/>
      <w:marBottom w:val="0"/>
      <w:divBdr>
        <w:top w:val="none" w:sz="0" w:space="0" w:color="auto"/>
        <w:left w:val="none" w:sz="0" w:space="0" w:color="auto"/>
        <w:bottom w:val="none" w:sz="0" w:space="0" w:color="auto"/>
        <w:right w:val="none" w:sz="0" w:space="0" w:color="auto"/>
      </w:divBdr>
    </w:div>
    <w:div w:id="638726519">
      <w:bodyDiv w:val="1"/>
      <w:marLeft w:val="0"/>
      <w:marRight w:val="0"/>
      <w:marTop w:val="0"/>
      <w:marBottom w:val="0"/>
      <w:divBdr>
        <w:top w:val="none" w:sz="0" w:space="0" w:color="auto"/>
        <w:left w:val="none" w:sz="0" w:space="0" w:color="auto"/>
        <w:bottom w:val="none" w:sz="0" w:space="0" w:color="auto"/>
        <w:right w:val="none" w:sz="0" w:space="0" w:color="auto"/>
      </w:divBdr>
    </w:div>
    <w:div w:id="837772793">
      <w:bodyDiv w:val="1"/>
      <w:marLeft w:val="0"/>
      <w:marRight w:val="0"/>
      <w:marTop w:val="0"/>
      <w:marBottom w:val="0"/>
      <w:divBdr>
        <w:top w:val="none" w:sz="0" w:space="0" w:color="auto"/>
        <w:left w:val="none" w:sz="0" w:space="0" w:color="auto"/>
        <w:bottom w:val="none" w:sz="0" w:space="0" w:color="auto"/>
        <w:right w:val="none" w:sz="0" w:space="0" w:color="auto"/>
      </w:divBdr>
    </w:div>
    <w:div w:id="1038896090">
      <w:bodyDiv w:val="1"/>
      <w:marLeft w:val="0"/>
      <w:marRight w:val="0"/>
      <w:marTop w:val="0"/>
      <w:marBottom w:val="0"/>
      <w:divBdr>
        <w:top w:val="none" w:sz="0" w:space="0" w:color="auto"/>
        <w:left w:val="none" w:sz="0" w:space="0" w:color="auto"/>
        <w:bottom w:val="none" w:sz="0" w:space="0" w:color="auto"/>
        <w:right w:val="none" w:sz="0" w:space="0" w:color="auto"/>
      </w:divBdr>
    </w:div>
    <w:div w:id="187708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MUGABO</dc:creator>
  <cp:lastModifiedBy>User</cp:lastModifiedBy>
  <cp:revision>11</cp:revision>
  <dcterms:created xsi:type="dcterms:W3CDTF">2016-09-21T09:20:00Z</dcterms:created>
  <dcterms:modified xsi:type="dcterms:W3CDTF">2016-10-03T14:56:00Z</dcterms:modified>
</cp:coreProperties>
</file>