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SUB-AGENT/SUB-DISTRIBUTOR AGREEMENT</w:t>
      </w:r>
    </w:p>
    <w:p>
      <w:r>
        <w:t xml:space="preserve">This Sub-Agent/Sub-Distributor Agreement (the "Agreement") is made and entered into as of this </w:t>
      </w:r>
      <w:r>
        <w:rPr>
          <w:color w:val="FF0000"/>
        </w:rPr>
        <w:t>[DATE]</w:t>
      </w:r>
      <w:r>
        <w:t xml:space="preserve"> (the "Effective Date"),</w:t>
      </w:r>
    </w:p>
    <w:p>
      <w:pPr>
        <w:pStyle w:val="Heading1"/>
      </w:pPr>
      <w:r>
        <w:t>PARTIES</w:t>
      </w:r>
    </w:p>
    <w:p>
      <w:r>
        <w:t>BETWEEN:</w:t>
      </w:r>
    </w:p>
    <w:p>
      <w:r>
        <w:t>World Conquest LLC ("WCA"), a company organized and existing under the laws of the State of Texas, United States of America, with License Number K-8550, and its principal office located at:</w:t>
        <w:br/>
        <w:t>3736 Bee Cave Rd, STE 1164</w:t>
        <w:br/>
        <w:t>Austin, Texas 78746</w:t>
        <w:br/>
        <w:t>USA</w:t>
        <w:br/>
        <w:t>(hereinafter referred to as the "Principal")</w:t>
      </w:r>
    </w:p>
    <w:p>
      <w:r>
        <w:t>AND</w:t>
      </w:r>
    </w:p>
    <w:p>
      <w:r>
        <w:t>NAJD MILTECH Company For Military Production, a limited liability company organized and existing under the laws of the Kingdom of Saudi Arabia, with Commercial Registration Number 7053075870, and its principal office located at:</w:t>
        <w:br/>
        <w:t>Building No. 6389, Prince Turki Ibn Abdulaziz Al Awal Street</w:t>
        <w:br/>
        <w:t>Secondary No. 2954, Al Malqa District</w:t>
        <w:br/>
        <w:t>Riyadh, 13522</w:t>
        <w:br/>
        <w:t>Kingdom of Saudi Arabia</w:t>
        <w:br/>
        <w:t>(hereinafter referred to as the "Sub-Agent" or "Najd Miltech")</w:t>
      </w:r>
    </w:p>
    <w:p>
      <w:r>
        <w:t>The Principal and the Sub-Agent may be referred to individually as a "Party" and collectively as the "Parties."</w:t>
      </w:r>
    </w:p>
    <w:p>
      <w:r>
        <w:t>____________________________________________________________</w:t>
      </w:r>
    </w:p>
    <w:p>
      <w:pPr>
        <w:pStyle w:val="Heading1"/>
      </w:pPr>
      <w:r>
        <w:t>RECITALS</w:t>
      </w:r>
    </w:p>
    <w:p>
      <w:r>
        <w:t>WHEREAS, the Principal (WCA) is the authorized distributor and agent for certain defense and military articles, services, and technologies sourced from various manufacturers;</w:t>
      </w:r>
    </w:p>
    <w:p>
      <w:r>
        <w:t>WHEREAS, the Sub-Agent possesses expertise in the Saudi defense market and relationships with government entities such as the General Authority for Military Industries (GAMI);</w:t>
      </w:r>
    </w:p>
    <w:p>
      <w:r>
        <w:t xml:space="preserve">WHEREAS, the Principal desires to appoint the Sub-Agent as its </w:t>
      </w:r>
      <w:r>
        <w:rPr>
          <w:b/>
          <w:color w:val="FF0000"/>
        </w:rPr>
        <w:t>non-exclusive</w:t>
      </w:r>
      <w:r>
        <w:t xml:space="preserve"> sub-agent and sub-distributor for the promotion, marketing, and sale of its Products and Services in the Kingdom of Saudi Arabia;</w:t>
      </w:r>
    </w:p>
    <w:p>
      <w:r>
        <w:t>WHEREAS, this Agreement is intended to satisfy GAMI requirements for a "License for Trading of Military Articles or Services" for the Sub-Agent;</w:t>
      </w:r>
    </w:p>
    <w:p>
      <w:r>
        <w:t>NOW, THEREFORE, in consideration of the mutual covenants and promises contained herein, the Parties agree as follows:</w:t>
      </w:r>
    </w:p>
    <w:p>
      <w:r>
        <w:t>____________________________________________________________</w:t>
      </w:r>
    </w:p>
    <w:p>
      <w:pPr>
        <w:pStyle w:val="Heading1"/>
      </w:pPr>
      <w:r>
        <w:t>ARTICLE 1: DEFINITIONS</w:t>
      </w:r>
    </w:p>
    <w:p>
      <w:r>
        <w:t>1.1. "Agreement" means this Sub-Agent/Sub-Distributor Agreement and any exhibits or schedules attached hereto.</w:t>
      </w:r>
    </w:p>
    <w:p>
      <w:r>
        <w:t>1.2. "GAMI" means the General Authority for Military Industries of the Kingdom of Saudi Arabia.</w:t>
      </w:r>
    </w:p>
    <w:p>
      <w:r>
        <w:t>1.3. "Intellectual Property" means all patents, trademarks, copyrights, and trade secrets related to the Products and Services, owned by the original manufacturers and/or WCA.</w:t>
      </w:r>
    </w:p>
    <w:p>
      <w:r>
        <w:t>1.4. "Products" and "Services" mean the defense and military articles, equipment, systems, and related services supplied by the Principal, including but not limited to those described in Exhibit A, which may be amended from time to time by mutual agreement of the Parties in writing.</w:t>
      </w:r>
    </w:p>
    <w:p>
      <w:r>
        <w:t>1.5. "Territory" means the Kingdom of Saudi Arabia.</w:t>
      </w:r>
    </w:p>
    <w:p>
      <w:r>
        <w:t>1.6. "DDTC Approved Services" means defense articles and services that have been approved by the U.S. Department of State Directorate of Defense Trade Controls for export and transfer.</w:t>
      </w:r>
    </w:p>
    <w:p>
      <w:r>
        <w:t>____________________________________________________________</w:t>
      </w:r>
    </w:p>
    <w:p>
      <w:pPr>
        <w:pStyle w:val="Heading1"/>
      </w:pPr>
      <w:r>
        <w:t>ARTICLE 2: APPOINTMENT AND SCOPE</w:t>
      </w:r>
    </w:p>
    <w:p>
      <w:r>
        <w:t xml:space="preserve">2.1. Appointment. The Principal hereby appoints the Sub-Agent as its </w:t>
      </w:r>
      <w:r>
        <w:rPr>
          <w:b/>
          <w:color w:val="FF0000"/>
        </w:rPr>
        <w:t>non-exclusive</w:t>
      </w:r>
      <w:r>
        <w:t xml:space="preserve"> sub-agent and sub-distributor in the Territory for the promotion, marketing, and sale of the Products and Services to customers in the Territory.</w:t>
      </w:r>
    </w:p>
    <w:p>
      <w:r>
        <w:t xml:space="preserve">2.2. </w:t>
      </w:r>
      <w:r>
        <w:rPr>
          <w:color w:val="FF0000"/>
        </w:rPr>
        <w:t>Non-Exclusivity. The Principal reserves the right to appoint other agents, sub-agents, or distributors for the Products and Services in the Territory. The Principal may also directly solicit orders from customers in the Territory. The Sub-Agent acknowledges and agrees that this appointment does not confer exclusive rights to distribute or sell the Products and Services in the Territory.</w:t>
      </w:r>
    </w:p>
    <w:p>
      <w:r>
        <w:t>____________________________________________________________</w:t>
      </w:r>
    </w:p>
    <w:p>
      <w:pPr>
        <w:pStyle w:val="Heading1"/>
      </w:pPr>
      <w:r>
        <w:t>ARTICLE 3: OBLIGATIONS OF THE SUB-AGENT</w:t>
      </w:r>
    </w:p>
    <w:p>
      <w:r>
        <w:t>3.1. Best Efforts. The Sub-Agent shall use its best efforts to promote and expand the sale of the Products and Services in the Territory.</w:t>
      </w:r>
    </w:p>
    <w:p>
      <w:r>
        <w:t>3.2. Compliance with Laws. The Sub-Agent shall comply with all applicable laws and regulations in the Territory, including GAMI regulations, anti-corruption laws, and export control laws.</w:t>
      </w:r>
    </w:p>
    <w:p>
      <w:r>
        <w:t>3.3. GAMI Licensing. The Sub-Agent shall be responsible for obtaining and maintaining all necessary licenses and permits from GAMI to perform its obligations under this Agreement.</w:t>
      </w:r>
    </w:p>
    <w:p>
      <w:r>
        <w:t>3.4. Confidentiality. The Sub-Agent shall keep confidential all Confidential Information of the Principal.</w:t>
      </w:r>
    </w:p>
    <w:p>
      <w:r>
        <w:t>____________________________________________________________</w:t>
      </w:r>
    </w:p>
    <w:p>
      <w:pPr>
        <w:pStyle w:val="Heading1"/>
      </w:pPr>
      <w:r>
        <w:t>ARTICLE 4: OBLIGATIONS OF THE PRINCIPAL</w:t>
      </w:r>
    </w:p>
    <w:p>
      <w:r>
        <w:t>4.1. Support. The Principal shall provide the Sub-Agent with necessary technical and commercial support, including product information, training, and marketing materials.</w:t>
      </w:r>
    </w:p>
    <w:p>
      <w:r>
        <w:t>4.2. Quotations and Orders. The Principal shall promptly provide the Sub-Agent with quotations for the Products and Services and shall use its best efforts to fulfill all orders accepted from the Sub-Agent.</w:t>
      </w:r>
    </w:p>
    <w:p>
      <w:r>
        <w:t>____________________________________________________________</w:t>
      </w:r>
    </w:p>
    <w:p>
      <w:pPr>
        <w:pStyle w:val="Heading1"/>
      </w:pPr>
      <w:r>
        <w:t>ARTICLE 5: COMMISSIONS AND PAYMENT TERMS</w:t>
      </w:r>
    </w:p>
    <w:p>
      <w:r>
        <w:t>5.1. Commission Structure. The compensation for the Sub-Agent on all sales of Products and Services made in the Territory shall be as follows:</w:t>
      </w:r>
    </w:p>
    <w:p>
      <w:r>
        <w:t xml:space="preserve">(a) Agency Model for Products (Non-Reseller): When the Sub-Agent is not acting as a reseller and the Principal contracts directly with the end customer for Products, the Sub-Agent shall receive a commission of </w:t>
      </w:r>
      <w:r>
        <w:rPr>
          <w:color w:val="FF0000"/>
        </w:rPr>
        <w:t>[To be agreed]%</w:t>
      </w:r>
      <w:r>
        <w:t xml:space="preserve"> of the gross collections received from the customer for such sale.</w:t>
      </w:r>
    </w:p>
    <w:p>
      <w:r>
        <w:t xml:space="preserve">(b) DDTC Approved Services (Non-Reseller): When the Sub-Agent is not acting as a reseller for DDTC Approved Services and the Principal contracts directly with the end customer, the Sub-Agent shall receive a commission of </w:t>
      </w:r>
      <w:r>
        <w:rPr>
          <w:color w:val="FF0000"/>
        </w:rPr>
        <w:t>[To be agreed]%</w:t>
      </w:r>
      <w:r>
        <w:t xml:space="preserve"> of the gross collections received from the customer for such DDTC Approved Services.</w:t>
      </w:r>
    </w:p>
    <w:p>
      <w:r>
        <w:t>(c) Reseller Model: When the Sub-Agent acts as a reseller and contracts directly with the end customer, the Sub-Agent shall purchase the Products and Services from the Principal at the agreed wholesale price and shall be entitled to mark up the price to the end customer at its discretion, retaining the margin as its compensation.</w:t>
      </w:r>
    </w:p>
    <w:p>
      <w:r>
        <w:t>5.2. Payment Terms. Commissions shall be paid to the Sub-Agent within three (3) business days of the Principal receiving collections from the customer. In the case of the Reseller Model, the Sub-Agent shall pay the Principal the agreed wholesale price within three (3) business days of receiving payment from the end customer.</w:t>
      </w:r>
    </w:p>
    <w:p>
      <w:r>
        <w:t>____________________________________________________________</w:t>
      </w:r>
    </w:p>
    <w:p>
      <w:pPr>
        <w:pStyle w:val="Heading1"/>
      </w:pPr>
      <w:r>
        <w:t>ARTICLE 6: SALES EXECUTION AND TRADING AUTHORITY</w:t>
      </w:r>
    </w:p>
    <w:p>
      <w:r>
        <w:t>6.1. Factory-Direct Sales. The Sub-Agent shall execute sales factory-direct to customers in the Territory under its Saudi licensing, in accordance with GAMI and MOD requirements.</w:t>
      </w:r>
    </w:p>
    <w:p>
      <w:r>
        <w:t>6.2. Trading License Allocation. Sales shall be executed by the entity holding the most appropriate defense trading license. For sales within the Territory, the Sub-Agent shall execute sales under its Saudi license.</w:t>
      </w:r>
    </w:p>
    <w:p>
      <w:r>
        <w:t>6.3. Sales Contracts. For sales within the Territory, sales shall be concluded factory-direct by the Sub-Agent, with the Sub-Agent as the contracting party with the customer. The Sub-Agent shall provide the Principal with copies of all sales contracts.</w:t>
      </w:r>
    </w:p>
    <w:p>
      <w:r>
        <w:t>____________________________________________________________</w:t>
      </w:r>
    </w:p>
    <w:p>
      <w:pPr>
        <w:pStyle w:val="Heading1"/>
      </w:pPr>
      <w:r>
        <w:t>ARTICLE 7: INTELLECTUAL PROPERTY</w:t>
      </w:r>
    </w:p>
    <w:p>
      <w:r>
        <w:t>7.1. Ownership. The Sub-Agent acknowledges that the original manufacturers and/or WCA are the owners of all Intellectual Property. The Sub-Agent shall not acquire any ownership rights to the Intellectual Property.</w:t>
      </w:r>
    </w:p>
    <w:p>
      <w:r>
        <w:t>____________________________________________________________</w:t>
      </w:r>
    </w:p>
    <w:p>
      <w:pPr>
        <w:pStyle w:val="Heading1"/>
      </w:pPr>
      <w:r>
        <w:t>ARTICLE 8: EXPORT CONTROL COMPLIANCE</w:t>
      </w:r>
    </w:p>
    <w:p>
      <w:r>
        <w:t>8.1. Export Control Compliance. The Sub-Agent shall comply with all applicable export control laws and regulations of the Kingdom of Saudi Arabia and the United States of America, and any requirements communicated by the Principal.</w:t>
      </w:r>
    </w:p>
    <w:p>
      <w:r>
        <w:t>8.2. Territorial Limitations. The Sub-Agent's appointment is limited to the Territory. Sales outside the Territory require explicit territorial allocation and sovereign approvals.</w:t>
      </w:r>
    </w:p>
    <w:p>
      <w:r>
        <w:t>____________________________________________________________</w:t>
      </w:r>
    </w:p>
    <w:p>
      <w:pPr>
        <w:pStyle w:val="Heading1"/>
      </w:pPr>
      <w:r>
        <w:t>ARTICLE 9: TERM AND TERMINATION</w:t>
      </w:r>
    </w:p>
    <w:p>
      <w:r>
        <w:t xml:space="preserve">9.1. Initial Term. This Agreement shall commence on the Effective Date and shall continue for an initial term of </w:t>
      </w:r>
      <w:r>
        <w:rPr>
          <w:color w:val="FF0000"/>
        </w:rPr>
        <w:t>[To be agreed]</w:t>
      </w:r>
      <w:r>
        <w:t xml:space="preserve"> years.</w:t>
      </w:r>
    </w:p>
    <w:p>
      <w:r>
        <w:t>9.2. Termination for Cause. Either Party may terminate this Agreement for material breach. This Agreement shall also terminate automatically if:</w:t>
      </w:r>
    </w:p>
    <w:p>
      <w:r>
        <w:t>(a) The Sub-Agent fails to obtain or maintain the necessary licenses from GAMI; or</w:t>
      </w:r>
    </w:p>
    <w:p>
      <w:r>
        <w:t>(b) The Sub-Agent engages in any conduct that violates the terms of this Agreement.</w:t>
      </w:r>
    </w:p>
    <w:p>
      <w:r>
        <w:rPr>
          <w:color w:val="000000"/>
        </w:rPr>
        <w:t xml:space="preserve">9.3. </w:t>
      </w:r>
      <w:r>
        <w:rPr>
          <w:color w:val="FF0000"/>
        </w:rPr>
        <w:t>Termination for Convenience. Either Party may terminate this Agreement without cause by providing ninety (90) days written notice to the other Party.</w:t>
      </w:r>
    </w:p>
    <w:p>
      <w:r>
        <w:t>____________________________________________________________</w:t>
      </w:r>
    </w:p>
    <w:p>
      <w:pPr>
        <w:pStyle w:val="Heading1"/>
      </w:pPr>
      <w:r>
        <w:t>ARTICLE 10: GOVERNING LAW AND DISPUTE RESOLUTION</w:t>
      </w:r>
    </w:p>
    <w:p>
      <w:r>
        <w:t>10.1. Governing Law. This Agreement shall be governed by the laws of the Kingdom of Saudi Arabia.</w:t>
      </w:r>
    </w:p>
    <w:p>
      <w:r>
        <w:t>10.2. Dispute Resolution. Any dispute shall be resolved through amicable negotiations. If not resolved within thirty (30) days, it shall be referred to arbitration under the Rules of the Saudi Center for Commercial Arbitration (SCCA).</w:t>
      </w:r>
    </w:p>
    <w:p>
      <w:r>
        <w:t>____________________________________________________________</w:t>
      </w:r>
    </w:p>
    <w:p>
      <w:pPr>
        <w:pStyle w:val="Heading1"/>
      </w:pPr>
      <w:r>
        <w:t>SIGNATURES</w:t>
      </w:r>
    </w:p>
    <w:p>
      <w:r>
        <w:t>IN WITNESS WHEREOF, the Parties have executed this Agreement as of the Effective Date.</w:t>
      </w:r>
    </w:p>
    <w:p/>
    <w:p>
      <w:r>
        <w:t>WORLD CONQUEST LLC (WCA)</w:t>
        <w:br/>
        <w:t>Signature: _________________________</w:t>
        <w:br/>
        <w:t>Name: James Frinzi</w:t>
        <w:br/>
        <w:t>Title: Authorized Signatory</w:t>
        <w:br/>
        <w:t>Date: _______________</w:t>
      </w:r>
    </w:p>
    <w:p/>
    <w:p>
      <w:r>
        <w:t>NAJD MILTECH COMPANY FOR MILITARY PRODUCTION</w:t>
        <w:br/>
        <w:t>Signature: _________________________</w:t>
        <w:br/>
        <w:t>Name: Abdullah Alanqary</w:t>
        <w:br/>
        <w:t>Title: Authorized Signatory</w:t>
        <w:br/>
        <w:t>Date: _______________</w:t>
      </w:r>
    </w:p>
    <w:p>
      <w:r>
        <w:br w:type="page"/>
      </w:r>
    </w:p>
    <w:p>
      <w:pPr>
        <w:pStyle w:val="Heading1"/>
      </w:pPr>
      <w:r>
        <w:t>EXHIBIT A: PRODUCTS AND SERVICES</w:t>
      </w:r>
    </w:p>
    <w:p>
      <w:r>
        <w:t>The Products and Services covered by this Agreement include, but are not limited to, the following:</w:t>
      </w:r>
    </w:p>
    <w:p>
      <w:r>
        <w:rPr>
          <w:b/>
        </w:rPr>
        <w:t>SECTION I – ROCKET-PROPELLED GRENADE (RPG) SYSTEMS</w:t>
      </w:r>
    </w:p>
    <w:p>
      <w:pPr>
        <w:pStyle w:val="ListBullet"/>
      </w:pPr>
      <w:r>
        <w:t>Reusable RPG Launcher (Multi-Use)</w:t>
      </w:r>
    </w:p>
    <w:p>
      <w:pPr>
        <w:pStyle w:val="ListBullet"/>
      </w:pPr>
      <w:r>
        <w:t>Single-Use Disposable Rocket Launcher</w:t>
      </w:r>
    </w:p>
    <w:p>
      <w:pPr>
        <w:pStyle w:val="ListBullet"/>
      </w:pPr>
      <w:r>
        <w:t>Thermobaric RPG Munition</w:t>
      </w:r>
    </w:p>
    <w:p>
      <w:pPr>
        <w:pStyle w:val="ListBullet"/>
      </w:pPr>
      <w:r>
        <w:t>High-Explosive Anti-Armor RPG Munition</w:t>
      </w:r>
    </w:p>
    <w:p>
      <w:pPr>
        <w:pStyle w:val="ListBullet"/>
      </w:pPr>
      <w:r>
        <w:t>Fragmentation RPG Munition</w:t>
      </w:r>
    </w:p>
    <w:p>
      <w:pPr>
        <w:pStyle w:val="ListBullet"/>
      </w:pPr>
      <w:r>
        <w:t>Training / Practice RPG Munition</w:t>
      </w:r>
    </w:p>
    <w:p>
      <w:r>
        <w:rPr>
          <w:b/>
        </w:rPr>
        <w:t>SECTION II – GRENADE LAUNCHERS</w:t>
      </w:r>
    </w:p>
    <w:p>
      <w:pPr>
        <w:pStyle w:val="ListBullet"/>
      </w:pPr>
      <w:r>
        <w:t>40x46 mm Single-Shot Grenade Launcher</w:t>
      </w:r>
    </w:p>
    <w:p>
      <w:pPr>
        <w:pStyle w:val="ListBullet"/>
      </w:pPr>
      <w:r>
        <w:t>40x46 mm Multi-Shot / Revolver Grenade Launcher</w:t>
      </w:r>
    </w:p>
    <w:p>
      <w:pPr>
        <w:pStyle w:val="ListBullet"/>
      </w:pPr>
      <w:r>
        <w:t>40x53 mm Automatic Grenade Launcher (MK19-Class)</w:t>
      </w:r>
    </w:p>
    <w:p>
      <w:pPr>
        <w:pStyle w:val="ListBullet"/>
      </w:pPr>
      <w:r>
        <w:t>40x53 mm Vehicle / Remote Mounted Grenade Launcher</w:t>
      </w:r>
    </w:p>
    <w:p>
      <w:r>
        <w:rPr>
          <w:b/>
        </w:rPr>
        <w:t>SECTION III – 40 mm GRENADE AMMUNITION</w:t>
      </w:r>
    </w:p>
    <w:p>
      <w:pPr>
        <w:pStyle w:val="ListBullet"/>
      </w:pPr>
      <w:r>
        <w:t>40x46 mm High-Explosive Fragmentation Grenade</w:t>
      </w:r>
    </w:p>
    <w:p>
      <w:pPr>
        <w:pStyle w:val="ListBullet"/>
      </w:pPr>
      <w:r>
        <w:t>40x46 mm Thermobaric Grenade</w:t>
      </w:r>
    </w:p>
    <w:p>
      <w:pPr>
        <w:pStyle w:val="ListBullet"/>
      </w:pPr>
      <w:r>
        <w:t>40x46 mm Smoke Grenade</w:t>
      </w:r>
    </w:p>
    <w:p>
      <w:pPr>
        <w:pStyle w:val="ListBullet"/>
      </w:pPr>
      <w:r>
        <w:t>40x46 mm Practice Grenade</w:t>
      </w:r>
    </w:p>
    <w:p>
      <w:pPr>
        <w:pStyle w:val="ListBullet"/>
      </w:pPr>
      <w:r>
        <w:t>40x53 mm High-Explosive Fragmentation Grenade</w:t>
      </w:r>
    </w:p>
    <w:p>
      <w:pPr>
        <w:pStyle w:val="ListBullet"/>
      </w:pPr>
      <w:r>
        <w:t>40x53 mm Thermobaric Grenade</w:t>
      </w:r>
    </w:p>
    <w:p>
      <w:pPr>
        <w:pStyle w:val="ListBullet"/>
      </w:pPr>
      <w:r>
        <w:t>40x53 mm Smoke Grenade</w:t>
      </w:r>
    </w:p>
    <w:p>
      <w:pPr>
        <w:pStyle w:val="ListBullet"/>
      </w:pPr>
      <w:r>
        <w:t>40x53 mm Practice Grenade</w:t>
      </w:r>
    </w:p>
    <w:p>
      <w:r>
        <w:rPr>
          <w:b/>
        </w:rPr>
        <w:t>SECTION IV – HAND-DEPLOYED MUNITIONS</w:t>
      </w:r>
    </w:p>
    <w:p>
      <w:pPr>
        <w:pStyle w:val="ListBullet"/>
      </w:pPr>
      <w:r>
        <w:t>Hand Fragmentation Grenade</w:t>
      </w:r>
    </w:p>
    <w:p>
      <w:pPr>
        <w:pStyle w:val="ListBullet"/>
      </w:pPr>
      <w:r>
        <w:t>Hand Thermobaric Grenade</w:t>
      </w:r>
    </w:p>
    <w:p>
      <w:pPr>
        <w:pStyle w:val="ListBullet"/>
      </w:pPr>
      <w:r>
        <w:t>Hand Smoke Grenade</w:t>
      </w:r>
    </w:p>
    <w:p>
      <w:r>
        <w:rPr>
          <w:b/>
        </w:rPr>
        <w:t>SECTION V – MORTAR SYSTEMS</w:t>
      </w:r>
    </w:p>
    <w:p>
      <w:pPr>
        <w:pStyle w:val="ListBullet"/>
      </w:pPr>
      <w:r>
        <w:t>60 mm Light Infantry Mortar System</w:t>
      </w:r>
    </w:p>
    <w:p>
      <w:pPr>
        <w:pStyle w:val="ListBullet"/>
      </w:pPr>
      <w:r>
        <w:t>81 / 82 mm Medium Infantry Mortar System</w:t>
      </w:r>
    </w:p>
    <w:p>
      <w:pPr>
        <w:pStyle w:val="ListBullet"/>
      </w:pPr>
      <w:r>
        <w:t>120 mm Heavy Infantry Mortar System</w:t>
      </w:r>
    </w:p>
    <w:p>
      <w:r>
        <w:rPr>
          <w:b/>
        </w:rPr>
        <w:t>SECTION VI – MORTAR AMMUNITION</w:t>
      </w:r>
    </w:p>
    <w:p>
      <w:pPr>
        <w:pStyle w:val="ListBullet"/>
      </w:pPr>
      <w:r>
        <w:t>High-Explosive Fragmentation Mortar Rounds (60-120 mm)</w:t>
      </w:r>
    </w:p>
    <w:p>
      <w:pPr>
        <w:pStyle w:val="ListBullet"/>
      </w:pPr>
      <w:r>
        <w:t>Smoke Mortar Rounds</w:t>
      </w:r>
    </w:p>
    <w:p>
      <w:pPr>
        <w:pStyle w:val="ListBullet"/>
      </w:pPr>
      <w:r>
        <w:t>Illumination Mortar Rounds</w:t>
      </w:r>
    </w:p>
    <w:p>
      <w:pPr>
        <w:pStyle w:val="ListBullet"/>
      </w:pPr>
      <w:r>
        <w:t>Thermobaric Mortar Rounds</w:t>
      </w:r>
    </w:p>
    <w:p>
      <w:pPr>
        <w:pStyle w:val="ListBullet"/>
      </w:pPr>
      <w:r>
        <w:t>Practice / Training Mortar Rounds</w:t>
      </w:r>
    </w:p>
    <w:p>
      <w:r>
        <w:rPr>
          <w:b/>
        </w:rPr>
        <w:t>SECTION VII – AVIATION UNGUIDED ROCKETS</w:t>
      </w:r>
    </w:p>
    <w:p>
      <w:pPr>
        <w:pStyle w:val="ListBullet"/>
      </w:pPr>
      <w:r>
        <w:t>57 mm Unguided Aircraft Rockets</w:t>
      </w:r>
    </w:p>
    <w:p>
      <w:pPr>
        <w:pStyle w:val="ListBullet"/>
      </w:pPr>
      <w:r>
        <w:t>80 mm Unguided Aircraft Rockets</w:t>
      </w:r>
    </w:p>
    <w:p>
      <w:r>
        <w:rPr>
          <w:b/>
        </w:rPr>
        <w:t>SECTION VIII – ROCKET ARTILLERY</w:t>
      </w:r>
    </w:p>
    <w:p>
      <w:pPr>
        <w:pStyle w:val="ListBullet"/>
      </w:pPr>
      <w:r>
        <w:t>122 mm Rocket Artillery Munitions</w:t>
      </w:r>
    </w:p>
    <w:p>
      <w:pPr>
        <w:pStyle w:val="ListBullet"/>
      </w:pPr>
      <w:r>
        <w:t>Rocket Training / Target Imitation Munitions</w:t>
      </w:r>
    </w:p>
    <w:p>
      <w:r>
        <w:rPr>
          <w:b/>
        </w:rPr>
        <w:t>SECTION IX – ARTILLERY AMMUNITION</w:t>
      </w:r>
    </w:p>
    <w:p>
      <w:pPr>
        <w:pStyle w:val="ListBullet"/>
      </w:pPr>
      <w:r>
        <w:t>100 mm Artillery Ammunition</w:t>
      </w:r>
    </w:p>
    <w:p>
      <w:pPr>
        <w:pStyle w:val="ListBullet"/>
      </w:pPr>
      <w:r>
        <w:t>122 mm Artillery Ammunition</w:t>
      </w:r>
    </w:p>
    <w:p>
      <w:pPr>
        <w:pStyle w:val="ListBullet"/>
      </w:pPr>
      <w:r>
        <w:t>125 mm Tank / Artillery Ammunition</w:t>
      </w:r>
    </w:p>
    <w:p>
      <w:pPr>
        <w:pStyle w:val="ListBullet"/>
      </w:pPr>
      <w:r>
        <w:t>130 mm Artillery Ammunition</w:t>
      </w:r>
    </w:p>
    <w:p>
      <w:pPr>
        <w:pStyle w:val="ListBullet"/>
      </w:pPr>
      <w:r>
        <w:t>152 mm Artillery Ammunition</w:t>
      </w:r>
    </w:p>
    <w:p>
      <w:pPr>
        <w:pStyle w:val="ListBullet"/>
      </w:pPr>
      <w:r>
        <w:t>155 mm Artillery Ammunition</w:t>
      </w:r>
    </w:p>
    <w:p>
      <w:r>
        <w:rPr>
          <w:b/>
        </w:rPr>
        <w:t>SECTION X – FUZE SYSTEMS</w:t>
      </w:r>
    </w:p>
    <w:p>
      <w:pPr>
        <w:pStyle w:val="ListBullet"/>
      </w:pPr>
      <w:r>
        <w:t>Grenade Fuzes</w:t>
      </w:r>
    </w:p>
    <w:p>
      <w:pPr>
        <w:pStyle w:val="ListBullet"/>
      </w:pPr>
      <w:r>
        <w:t>Mortar Fuzes</w:t>
      </w:r>
    </w:p>
    <w:p>
      <w:pPr>
        <w:pStyle w:val="ListBullet"/>
      </w:pPr>
      <w:r>
        <w:t>Artillery and Rocket Fuzes</w:t>
      </w:r>
    </w:p>
    <w:p>
      <w:r>
        <w:rPr>
          <w:b/>
        </w:rPr>
        <w:t>SECTION XI – HEAVY-CALIBER &amp; ADVANCED AMMUNITION</w:t>
      </w:r>
    </w:p>
    <w:p>
      <w:pPr>
        <w:pStyle w:val="ListBullet"/>
      </w:pPr>
      <w:r>
        <w:t>12.7x99 mm Heavy Machine Gun Ammunition</w:t>
      </w:r>
    </w:p>
    <w:p>
      <w:pPr>
        <w:pStyle w:val="ListBullet"/>
      </w:pPr>
      <w:r>
        <w:t>12.7x108 mm Heavy Machine Gun Ammunition</w:t>
      </w:r>
    </w:p>
    <w:p>
      <w:pPr>
        <w:pStyle w:val="ListBullet"/>
      </w:pPr>
      <w:r>
        <w:t>12.7 mm Anti-Materiel / Sniper Ammunition</w:t>
      </w:r>
    </w:p>
    <w:p>
      <w:pPr>
        <w:pStyle w:val="ListBullet"/>
      </w:pPr>
      <w:r>
        <w:t>23x152 mm Autocannon Ammunition</w:t>
      </w:r>
    </w:p>
    <w:p>
      <w:r>
        <w:rPr>
          <w:b/>
        </w:rPr>
        <w:t>SECTION XII – POLYMER-CASED AMMUNITION</w:t>
      </w:r>
    </w:p>
    <w:p>
      <w:pPr>
        <w:pStyle w:val="ListBullet"/>
      </w:pPr>
      <w:r>
        <w:t>12.7x99 mm Polymer Heavy Machine Gun Ammunition</w:t>
      </w:r>
    </w:p>
    <w:p>
      <w:pPr>
        <w:pStyle w:val="ListBullet"/>
      </w:pPr>
      <w:r>
        <w:t>12.7x108 mm Polymer Heavy Machine Gun Ammunition</w:t>
      </w:r>
    </w:p>
    <w:p>
      <w:r>
        <w:rPr>
          <w:b/>
        </w:rPr>
        <w:t>SECTION XIII – SMALL ARMS &amp; DIRECT-FIRE WEAPONS</w:t>
      </w:r>
    </w:p>
    <w:p>
      <w:pPr>
        <w:pStyle w:val="ListBullet"/>
      </w:pPr>
      <w:r>
        <w:t>Assault Rifles (Intermediate Caliber)</w:t>
      </w:r>
    </w:p>
    <w:p>
      <w:pPr>
        <w:pStyle w:val="ListBullet"/>
      </w:pPr>
      <w:r>
        <w:t>General-Purpose Machine Guns</w:t>
      </w:r>
    </w:p>
    <w:p>
      <w:pPr>
        <w:pStyle w:val="ListBullet"/>
      </w:pPr>
      <w:r>
        <w:t>Heavy Machine Guns (12.7 mm Class)</w:t>
      </w:r>
    </w:p>
    <w:p>
      <w:pPr>
        <w:pStyle w:val="ListBullet"/>
      </w:pPr>
      <w:r>
        <w:t>Sniper / Anti-Materiel Rifles</w:t>
      </w:r>
    </w:p>
    <w:p>
      <w:r>
        <w:rPr>
          <w:b/>
        </w:rPr>
        <w:t>SECTION XIV – VEHICLES</w:t>
      </w:r>
    </w:p>
    <w:p>
      <w:pPr>
        <w:pStyle w:val="ListBullet"/>
      </w:pPr>
      <w:r>
        <w:t>Mine-Resistant Light Tactical Vehicle</w:t>
      </w:r>
    </w:p>
    <w:p>
      <w:r>
        <w:rPr>
          <w:b/>
        </w:rPr>
        <w:t>SECTION XV – UNMANNED SYSTEMS &amp; ISR</w:t>
      </w:r>
    </w:p>
    <w:p>
      <w:pPr>
        <w:pStyle w:val="ListBullet"/>
      </w:pPr>
      <w:r>
        <w:t>Vertical Take-Off Unmanned Aerial System (VTOL UAS)</w:t>
      </w:r>
    </w:p>
    <w:p>
      <w:pPr>
        <w:pStyle w:val="ListBullet"/>
      </w:pPr>
      <w:r>
        <w:t>Electro-Optical / Infrared ISR Payloads</w:t>
      </w:r>
    </w:p>
    <w:p>
      <w:pPr>
        <w:pStyle w:val="ListBullet"/>
      </w:pPr>
      <w:r>
        <w:t>Unmanned Systems Ground Control Station</w:t>
      </w:r>
    </w:p>
    <w:p>
      <w:r>
        <w:rPr>
          <w:b/>
        </w:rPr>
        <w:t>ANNEX A – PRODUCT ANNEX: CURRENT SOURCING WITH PLANNED LOCAL PRODUCTION (KSA)</w:t>
      </w:r>
    </w:p>
    <w:p>
      <w:pPr>
        <w:pStyle w:val="ListBullet"/>
      </w:pPr>
      <w:r>
        <w:t>Directional Anti-Personnel Munition (Claymore-Type)</w:t>
      </w:r>
    </w:p>
    <w:p>
      <w:pPr>
        <w:pStyle w:val="ListBullet"/>
      </w:pPr>
      <w:r>
        <w:t>Plastic Explosive Charges (C4-Type)</w:t>
      </w:r>
    </w:p>
    <w:p>
      <w:pPr>
        <w:pStyle w:val="ListBullet"/>
      </w:pPr>
      <w:r>
        <w:t>Electronic Detonation and Timing Fuses (Automatic)</w:t>
      </w:r>
    </w:p>
    <w:p>
      <w:pPr>
        <w:pStyle w:val="ListBullet"/>
      </w:pPr>
      <w:r>
        <w:t>Electrical Detonation Fuses (Direct-Fire)</w:t>
      </w:r>
    </w:p>
    <w:p>
      <w:pPr>
        <w:pStyle w:val="ListBullet"/>
      </w:pPr>
      <w:r>
        <w:t>Safety Fuse Reel (Plain Fuse)</w:t>
      </w:r>
    </w:p>
    <w:p>
      <w:pPr>
        <w:pStyle w:val="ListBullet"/>
      </w:pPr>
      <w:r>
        <w:t>Detonating Fuse Reel</w:t>
      </w:r>
    </w:p>
    <w:p/>
    <w:p>
      <w:r>
        <w:t>Note: This Exhibit A may be amended from time to time by mutual written agreement of the Parties to add, remove, or modify Products and Services.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