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Times New Roman" w:cs="Times New Roman" w:eastAsia="Times New Roman" w:hAnsi="Times New Roman"/>
          <w:b/>
          <w:bCs/>
          <w:color w:val="1F4E79"/>
          <w:sz w:val="32"/>
          <w:szCs w:val="32"/>
        </w:rPr>
        <w:t xml:space="preserve">Methods</w:t>
      </w:r>
    </w:p>
    <w:p>
      <w:pPr>
        <w:spacing w:after="200" w:before="0" w:line="276"/>
      </w:pPr>
      <w:r>
        <w:rPr>
          <w:rFonts w:ascii="Times New Roman" w:cs="Times New Roman" w:eastAsia="Times New Roman" w:hAnsi="Times New Roman"/>
          <w:color w:val="222222"/>
          <w:sz w:val="24"/>
          <w:szCs w:val="24"/>
        </w:rPr>
        <w:t xml:space="preserve">This study tests whether mathematical reasoning and financial interpretation rely on distinguishable parameters inside an open-weight language model. We adapt the MathNeuro localization procedure of Zhang et al.: compute weight–activation importance scores on matched problem sets, isolate parameters that are important for one condition but not another, and use targeted pruning as a causal check. All runs log configuration, model revision, dataset fingerprints, and metrics so that each experiment can be reproduced from the saved artifacts.</w:t>
      </w:r>
    </w:p>
    <w:p>
      <w:pPr>
        <w:pStyle w:val="Heading2"/>
        <w:spacing w:after="140" w:before="280"/>
      </w:pPr>
      <w:r>
        <w:rPr>
          <w:rFonts w:ascii="Times New Roman" w:cs="Times New Roman" w:eastAsia="Times New Roman" w:hAnsi="Times New Roman"/>
          <w:b/>
          <w:bCs/>
          <w:color w:val="1F4E79"/>
          <w:sz w:val="26"/>
          <w:szCs w:val="26"/>
        </w:rPr>
        <w:t xml:space="preserve">Overview of the experimental pipeline</w:t>
      </w:r>
    </w:p>
    <w:p>
      <w:pPr>
        <w:spacing w:after="200" w:before="0" w:line="276"/>
      </w:pPr>
      <w:r>
        <w:rPr>
          <w:rFonts w:ascii="Times New Roman" w:cs="Times New Roman" w:eastAsia="Times New Roman" w:hAnsi="Times New Roman"/>
          <w:color w:val="222222"/>
          <w:sz w:val="24"/>
          <w:szCs w:val="24"/>
        </w:rPr>
        <w:t xml:space="preserve">The pipeline has four stages. First, we construct matched problem quadruplets that share the same numerical values, mathematical operation, and correct answer, and differ only in domain framing. Second, we measure baseline accuracy on each condition with the unmodified model. Third, we compute importance scores from forward passes and form isolated parameter masks. Fourth, we prune those masks (and size-matched random masks) and re-evaluate accuracy. A model is considered usable for mechanistic analysis only if baseline accuracy on the simplified finance subset is high enough that pruning drops can be interpreted.</w:t>
      </w:r>
    </w:p>
    <w:p>
      <w:pPr>
        <w:pStyle w:val="Heading2"/>
        <w:spacing w:after="140" w:before="280"/>
      </w:pPr>
      <w:r>
        <w:rPr>
          <w:rFonts w:ascii="Times New Roman" w:cs="Times New Roman" w:eastAsia="Times New Roman" w:hAnsi="Times New Roman"/>
          <w:b/>
          <w:bCs/>
          <w:color w:val="1F4E79"/>
          <w:sz w:val="26"/>
          <w:szCs w:val="26"/>
        </w:rPr>
        <w:t xml:space="preserve">Matched dataset</w:t>
      </w:r>
    </w:p>
    <w:p>
      <w:pPr>
        <w:pStyle w:val="Heading3"/>
        <w:spacing w:after="120" w:before="200"/>
      </w:pPr>
      <w:r>
        <w:rPr>
          <w:rFonts w:ascii="Times New Roman" w:cs="Times New Roman" w:eastAsia="Times New Roman" w:hAnsi="Times New Roman"/>
          <w:b/>
          <w:bCs/>
          <w:i/>
          <w:iCs/>
          <w:color w:val="2E5A88"/>
          <w:sz w:val="24"/>
          <w:szCs w:val="24"/>
        </w:rPr>
        <w:t xml:space="preserve">Source and scope</w:t>
      </w:r>
    </w:p>
    <w:p>
      <w:pPr>
        <w:spacing w:after="200" w:before="0" w:line="276"/>
      </w:pPr>
      <w:r>
        <w:rPr>
          <w:rFonts w:ascii="Times New Roman" w:cs="Times New Roman" w:eastAsia="Times New Roman" w:hAnsi="Times New Roman"/>
          <w:color w:val="222222"/>
          <w:sz w:val="24"/>
          <w:szCs w:val="24"/>
        </w:rPr>
        <w:t xml:space="preserve">Financial items are drawn from the knowledge-intensive finance-math literature (FinanceMath and related formula banks) and rewritten into a small controlled set. The pilot uses only simple operations: compound growth, percentages and profit margins, present value, and ratios. Complex table-heavy or multi-knowledge items from FinanceMath are deferred until a model shows usable accuracy on this simplified subset. Pure-math comparison items follow the same numerical skeleton and can be cross-checked against GSM8K-style short-form arithmetic when a general math baseline is needed.</w:t>
      </w:r>
    </w:p>
    <w:p>
      <w:pPr>
        <w:pStyle w:val="Heading3"/>
        <w:spacing w:after="120" w:before="200"/>
      </w:pPr>
      <w:r>
        <w:rPr>
          <w:rFonts w:ascii="Times New Roman" w:cs="Times New Roman" w:eastAsia="Times New Roman" w:hAnsi="Times New Roman"/>
          <w:b/>
          <w:bCs/>
          <w:i/>
          <w:iCs/>
          <w:color w:val="2E5A88"/>
          <w:sz w:val="24"/>
          <w:szCs w:val="24"/>
        </w:rPr>
        <w:t xml:space="preserve">Four matched conditions</w:t>
      </w:r>
    </w:p>
    <w:p>
      <w:pPr>
        <w:spacing w:after="200" w:before="0" w:line="276"/>
      </w:pPr>
      <w:r>
        <w:rPr>
          <w:rFonts w:ascii="Times New Roman" w:cs="Times New Roman" w:eastAsia="Times New Roman" w:hAnsi="Times New Roman"/>
          <w:color w:val="222222"/>
          <w:sz w:val="24"/>
          <w:szCs w:val="24"/>
        </w:rPr>
        <w:t xml:space="preserve">Each item is instantiated in four conditions. Numerical values, the underlying formula, and the gold answer are held fixed across the first three conditions. The fourth condition is a surface-matched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FBFBF" w:sz="8"/>
              <w:left w:val="single" w:color="BFBFBF" w:sz="8"/>
              <w:bottom w:val="single" w:color="BFBFBF" w:sz="8"/>
              <w:right w:val="single" w:color="BFBFBF" w:sz="8"/>
            </w:tcBorders>
            <w:shd w:fill="1F4E79"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Condition</w:t>
            </w:r>
          </w:p>
        </w:tc>
        <w:tc>
          <w:tcPr>
            <w:tcW w:type="dxa" w:w="3000"/>
            <w:tcBorders>
              <w:top w:val="single" w:color="BFBFBF" w:sz="8"/>
              <w:left w:val="single" w:color="BFBFBF" w:sz="8"/>
              <w:bottom w:val="single" w:color="BFBFBF" w:sz="8"/>
              <w:right w:val="single" w:color="BFBFBF" w:sz="8"/>
            </w:tcBorders>
            <w:shd w:fill="1F4E79"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What is held constant</w:t>
            </w:r>
          </w:p>
        </w:tc>
        <w:tc>
          <w:tcPr>
            <w:tcW w:type="dxa" w:w="4160"/>
            <w:tcBorders>
              <w:top w:val="single" w:color="BFBFBF" w:sz="8"/>
              <w:left w:val="single" w:color="BFBFBF" w:sz="8"/>
              <w:bottom w:val="single" w:color="BFBFBF" w:sz="8"/>
              <w:right w:val="single" w:color="BFBFBF" w:sz="8"/>
            </w:tcBorders>
            <w:shd w:fill="1F4E79"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What changes</w:t>
            </w:r>
          </w:p>
        </w:tc>
      </w:tr>
      <w:tr>
        <w:tc>
          <w:tcPr>
            <w:tcW w:type="dxa" w:w="220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Pure / symbolic math</w:t>
            </w:r>
          </w:p>
        </w:tc>
        <w:tc>
          <w:tcPr>
            <w:tcW w:type="dxa" w:w="300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Numbers, operation, answer</w:t>
            </w:r>
          </w:p>
        </w:tc>
        <w:tc>
          <w:tcPr>
            <w:tcW w:type="dxa" w:w="416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No narrative; equation or bare calculation prompt</w:t>
            </w:r>
          </w:p>
        </w:tc>
      </w:tr>
      <w:tr>
        <w:tc>
          <w:tcPr>
            <w:tcW w:type="dxa" w:w="2200"/>
            <w:tcBorders>
              <w:top w:val="single" w:color="BFBFBF" w:sz="8"/>
              <w:left w:val="single" w:color="BFBFBF" w:sz="8"/>
              <w:bottom w:val="single" w:color="BFBFBF" w:sz="8"/>
              <w:right w:val="single" w:color="BFBFBF" w:sz="8"/>
            </w:tcBorders>
            <w:shd w:fill="F2F6FA"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Financial word problem</w:t>
            </w:r>
          </w:p>
        </w:tc>
        <w:tc>
          <w:tcPr>
            <w:tcW w:type="dxa" w:w="3000"/>
            <w:tcBorders>
              <w:top w:val="single" w:color="BFBFBF" w:sz="8"/>
              <w:left w:val="single" w:color="BFBFBF" w:sz="8"/>
              <w:bottom w:val="single" w:color="BFBFBF" w:sz="8"/>
              <w:right w:val="single" w:color="BFBFBF" w:sz="8"/>
            </w:tcBorders>
            <w:shd w:fill="F2F6FA"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Numbers, operation, answer</w:t>
            </w:r>
          </w:p>
        </w:tc>
        <w:tc>
          <w:tcPr>
            <w:tcW w:type="dxa" w:w="4160"/>
            <w:tcBorders>
              <w:top w:val="single" w:color="BFBFBF" w:sz="8"/>
              <w:left w:val="single" w:color="BFBFBF" w:sz="8"/>
              <w:bottom w:val="single" w:color="BFBFBF" w:sz="8"/>
              <w:right w:val="single" w:color="BFBFBF" w:sz="8"/>
            </w:tcBorders>
            <w:shd w:fill="F2F6FA"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Requires recognizing a finance concept or formula</w:t>
            </w:r>
          </w:p>
        </w:tc>
      </w:tr>
      <w:tr>
        <w:tc>
          <w:tcPr>
            <w:tcW w:type="dxa" w:w="220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Non-financial word problem</w:t>
            </w:r>
          </w:p>
        </w:tc>
        <w:tc>
          <w:tcPr>
            <w:tcW w:type="dxa" w:w="300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Numbers, operation, answer</w:t>
            </w:r>
          </w:p>
        </w:tc>
        <w:tc>
          <w:tcPr>
            <w:tcW w:type="dxa" w:w="416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Everyday narrative with the same calculation</w:t>
            </w:r>
          </w:p>
        </w:tc>
      </w:tr>
      <w:tr>
        <w:tc>
          <w:tcPr>
            <w:tcW w:type="dxa" w:w="2200"/>
            <w:tcBorders>
              <w:top w:val="single" w:color="BFBFBF" w:sz="8"/>
              <w:left w:val="single" w:color="BFBFBF" w:sz="8"/>
              <w:bottom w:val="single" w:color="BFBFBF" w:sz="8"/>
              <w:right w:val="single" w:color="BFBFBF" w:sz="8"/>
            </w:tcBorders>
            <w:shd w:fill="F2F6FA"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Nonsense / control</w:t>
            </w:r>
          </w:p>
        </w:tc>
        <w:tc>
          <w:tcPr>
            <w:tcW w:type="dxa" w:w="3000"/>
            <w:tcBorders>
              <w:top w:val="single" w:color="BFBFBF" w:sz="8"/>
              <w:left w:val="single" w:color="BFBFBF" w:sz="8"/>
              <w:bottom w:val="single" w:color="BFBFBF" w:sz="8"/>
              <w:right w:val="single" w:color="BFBFBF" w:sz="8"/>
            </w:tcBorders>
            <w:shd w:fill="F2F6FA"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Numbers, prompt length band, numeric format</w:t>
            </w:r>
          </w:p>
        </w:tc>
        <w:tc>
          <w:tcPr>
            <w:tcW w:type="dxa" w:w="4160"/>
            <w:tcBorders>
              <w:top w:val="single" w:color="BFBFBF" w:sz="8"/>
              <w:left w:val="single" w:color="BFBFBF" w:sz="8"/>
              <w:bottom w:val="single" w:color="BFBFBF" w:sz="8"/>
              <w:right w:val="single" w:color="BFBFBF" w:sz="8"/>
            </w:tcBorders>
            <w:shd w:fill="F2F6FA"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Meaningful finance or everyday context is removed</w:t>
            </w:r>
          </w:p>
        </w:tc>
      </w:tr>
    </w:tbl>
    <w:p>
      <w:pPr>
        <w:spacing w:after="200"/>
      </w:pPr>
    </w:p>
    <w:p>
      <w:pPr>
        <w:spacing w:after="200" w:before="0" w:line="276"/>
      </w:pPr>
      <w:r>
        <w:rPr>
          <w:rFonts w:ascii="Times New Roman" w:cs="Times New Roman" w:eastAsia="Times New Roman" w:hAnsi="Times New Roman"/>
          <w:color w:val="222222"/>
          <w:sz w:val="24"/>
          <w:szCs w:val="24"/>
        </w:rPr>
        <w:t xml:space="preserve">The control condition is designed so that identified parameter differences are not driven only by the presence of numbers or by a shared word-problem template. Following the mentor constraint, the control replaces interpretable quantity names with nonsense labels while keeping the same numerals (for example, principal and rate become nonwords, while 1000 and 0.05 stay as digits). It does not introduce a second coherent domain. Construction of every control line is checked against the same token-count and number-format rules as the other three conditions.</w:t>
      </w:r>
    </w:p>
    <w:p>
      <w:pPr>
        <w:pStyle w:val="Heading3"/>
        <w:spacing w:after="120" w:before="200"/>
      </w:pPr>
      <w:r>
        <w:rPr>
          <w:rFonts w:ascii="Times New Roman" w:cs="Times New Roman" w:eastAsia="Times New Roman" w:hAnsi="Times New Roman"/>
          <w:b/>
          <w:bCs/>
          <w:i/>
          <w:iCs/>
          <w:color w:val="2E5A88"/>
          <w:sz w:val="24"/>
          <w:szCs w:val="24"/>
        </w:rPr>
        <w:t xml:space="preserve">Token-count and number-format controls</w:t>
      </w:r>
    </w:p>
    <w:p>
      <w:pPr>
        <w:spacing w:after="200" w:before="0" w:line="276"/>
      </w:pPr>
      <w:r>
        <w:rPr>
          <w:rFonts w:ascii="Times New Roman" w:cs="Times New Roman" w:eastAsia="Times New Roman" w:hAnsi="Times New Roman"/>
          <w:color w:val="222222"/>
          <w:sz w:val="24"/>
          <w:szCs w:val="24"/>
        </w:rPr>
        <w:t xml:space="preserve">Prompt length and numeral tokenization can change activations independently of finance or math content. For that reason we do not match conditions by word count. After a candidate quadruplet is written, we tokenize all four variants with the tokenizer of the model under test and record the token length of each variant. Templates are edited until finance, non-finance, and control prompts fall in a tight token band; residual differences are logged rather than hidden. Symbolic math items are allowed to be shorter because an equation does not have the same syntax as a word problem; those differences are reported in the item log.</w:t>
      </w:r>
    </w:p>
    <w:p>
      <w:pPr>
        <w:spacing w:after="200" w:before="0" w:line="276"/>
      </w:pPr>
      <w:r>
        <w:rPr>
          <w:rFonts w:ascii="Times New Roman" w:cs="Times New Roman" w:eastAsia="Times New Roman" w:hAnsi="Times New Roman"/>
          <w:color w:val="222222"/>
          <w:sz w:val="24"/>
          <w:szCs w:val="24"/>
        </w:rPr>
        <w:t xml:space="preserve">Numerical formatting is standardized within each quadruplet. We do not mix 5000, 5,000, and five thousand across conditions of the same item. Currency symbols, percent signs, and decimal precision are kept consistent unless a condition genuinely cannot use them (pure math may drop the dollar sign). Each item record stores condition, tokenizer-specific token count, numerical format, operation or formula, and correct answer.</w:t>
      </w:r>
    </w:p>
    <w:p>
      <w:pPr>
        <w:pStyle w:val="Heading3"/>
        <w:spacing w:after="120" w:before="200"/>
      </w:pPr>
      <w:r>
        <w:rPr>
          <w:rFonts w:ascii="Times New Roman" w:cs="Times New Roman" w:eastAsia="Times New Roman" w:hAnsi="Times New Roman"/>
          <w:b/>
          <w:bCs/>
          <w:i/>
          <w:iCs/>
          <w:color w:val="2E5A88"/>
          <w:sz w:val="24"/>
          <w:szCs w:val="24"/>
        </w:rPr>
        <w:t xml:space="preserve">Item log and paraphrases</w:t>
      </w:r>
    </w:p>
    <w:p>
      <w:pPr>
        <w:spacing w:after="200" w:before="0" w:line="276"/>
      </w:pPr>
      <w:r>
        <w:rPr>
          <w:rFonts w:ascii="Times New Roman" w:cs="Times New Roman" w:eastAsia="Times New Roman" w:hAnsi="Times New Roman"/>
          <w:color w:val="222222"/>
          <w:sz w:val="24"/>
          <w:szCs w:val="24"/>
        </w:rPr>
        <w:t xml:space="preserve">The working dataset is a table of quadruplets plus optional paraphrases of the finance and non-finance stems. Paraphrases use the same numbers and answer and are used only in robustness checks, to test whether a mask is tied to one wording. Pilot analysis uses a small set (on the order of tens of quadruplets) so that every line can be inspected by hand before any pruning experiment.</w:t>
      </w:r>
    </w:p>
    <w:p>
      <w:pPr>
        <w:pStyle w:val="Heading2"/>
        <w:spacing w:after="140" w:before="280"/>
      </w:pPr>
      <w:r>
        <w:rPr>
          <w:rFonts w:ascii="Times New Roman" w:cs="Times New Roman" w:eastAsia="Times New Roman" w:hAnsi="Times New Roman"/>
          <w:b/>
          <w:bCs/>
          <w:color w:val="1F4E79"/>
          <w:sz w:val="26"/>
          <w:szCs w:val="26"/>
        </w:rPr>
        <w:t xml:space="preserve">Model and inference setup</w:t>
      </w:r>
    </w:p>
    <w:p>
      <w:pPr>
        <w:spacing w:after="200" w:before="0" w:line="276"/>
      </w:pPr>
      <w:r>
        <w:rPr>
          <w:rFonts w:ascii="Times New Roman" w:cs="Times New Roman" w:eastAsia="Times New Roman" w:hAnsi="Times New Roman"/>
          <w:color w:val="222222"/>
          <w:sz w:val="24"/>
          <w:szCs w:val="24"/>
        </w:rPr>
        <w:t xml:space="preserve">The pilot model is Qwen2.5-0.5B-Instruct, loaded in float16 with device mapping onto available GPU memory, or CPU if no GPU is present. This choice follows the project rule of starting with a small open-weight model whose weights can be hooked and overwritten. If baseline finance accuracy on the simplified subset is too low for pruning results to be meaningful, the same pipeline is rerun on a larger open-weight Instruct model in the same family, subject to compute. Closed models are not used for localization because the method requires writable parameters.</w:t>
      </w:r>
    </w:p>
    <w:p>
      <w:pPr>
        <w:spacing w:after="200" w:before="0" w:line="276"/>
      </w:pPr>
      <w:r>
        <w:rPr>
          <w:rFonts w:ascii="Times New Roman" w:cs="Times New Roman" w:eastAsia="Times New Roman" w:hAnsi="Times New Roman"/>
          <w:color w:val="222222"/>
          <w:sz w:val="24"/>
          <w:szCs w:val="24"/>
        </w:rPr>
        <w:t xml:space="preserve">Decoding for evaluation is deterministic: greedy generation, a fixed maximum of 200 new tokens, and left padding. The tokenizer pad token is set to the end-of-sequence token when missing. A single seed controls Python, PyTorch, CUDA, and dataset shuffling. cuDNN deterministic mode is enabled for the pilot. Model identity is recorded as the Hugging Face model id plus the Hub commit SHA at load time.</w:t>
      </w:r>
    </w:p>
    <w:p>
      <w:pPr>
        <w:pStyle w:val="Heading2"/>
        <w:spacing w:after="140" w:before="280"/>
      </w:pPr>
      <w:r>
        <w:rPr>
          <w:rFonts w:ascii="Times New Roman" w:cs="Times New Roman" w:eastAsia="Times New Roman" w:hAnsi="Times New Roman"/>
          <w:b/>
          <w:bCs/>
          <w:color w:val="1F4E79"/>
          <w:sz w:val="26"/>
          <w:szCs w:val="26"/>
        </w:rPr>
        <w:t xml:space="preserve">Baseline evaluation</w:t>
      </w:r>
    </w:p>
    <w:p>
      <w:pPr>
        <w:spacing w:after="200" w:before="0" w:line="276"/>
      </w:pPr>
      <w:r>
        <w:rPr>
          <w:rFonts w:ascii="Times New Roman" w:cs="Times New Roman" w:eastAsia="Times New Roman" w:hAnsi="Times New Roman"/>
          <w:color w:val="222222"/>
          <w:sz w:val="24"/>
          <w:szCs w:val="24"/>
        </w:rPr>
        <w:t xml:space="preserve">Before any parameter is altered, we evaluate the unmodified model separately on each condition. Prompts use a fixed template of the form “Question: … / Answer:”. Answers are parsed by taking the last numeric span in the generated text and comparing it to the gold value after comma stripping, with a small absolute tolerance. For GSM8K-style references the gold is the number after the #### marker. Accuracy is the fraction of items whose parsed number matches.</w:t>
      </w:r>
    </w:p>
    <w:p>
      <w:pPr>
        <w:spacing w:after="200" w:before="0" w:line="276"/>
      </w:pPr>
      <w:r>
        <w:rPr>
          <w:rFonts w:ascii="Times New Roman" w:cs="Times New Roman" w:eastAsia="Times New Roman" w:hAnsi="Times New Roman"/>
          <w:color w:val="222222"/>
          <w:sz w:val="24"/>
          <w:szCs w:val="24"/>
        </w:rPr>
        <w:t xml:space="preserve">Baseline accuracy is the gate for the rest of the study. If the model solves almost none of the finance items, we first shrink the operation set or simplify wording. Only after a usable finance baseline exists do we interpret pruning drops. We also keep the subset of items where pure math is correct and finance is incorrect; those items are the most informative cases of “math available, financial mapping failed.”</w:t>
      </w:r>
    </w:p>
    <w:p>
      <w:pPr>
        <w:pStyle w:val="Heading2"/>
        <w:spacing w:after="140" w:before="280"/>
      </w:pPr>
      <w:r>
        <w:rPr>
          <w:rFonts w:ascii="Times New Roman" w:cs="Times New Roman" w:eastAsia="Times New Roman" w:hAnsi="Times New Roman"/>
          <w:b/>
          <w:bCs/>
          <w:color w:val="1F4E79"/>
          <w:sz w:val="26"/>
          <w:szCs w:val="26"/>
        </w:rPr>
        <w:t xml:space="preserve">Parameter localization (MathNeuro)</w:t>
      </w:r>
    </w:p>
    <w:p>
      <w:pPr>
        <w:pStyle w:val="Heading3"/>
        <w:spacing w:after="120" w:before="200"/>
      </w:pPr>
      <w:r>
        <w:rPr>
          <w:rFonts w:ascii="Times New Roman" w:cs="Times New Roman" w:eastAsia="Times New Roman" w:hAnsi="Times New Roman"/>
          <w:b/>
          <w:bCs/>
          <w:i/>
          <w:iCs/>
          <w:color w:val="2E5A88"/>
          <w:sz w:val="24"/>
          <w:szCs w:val="24"/>
        </w:rPr>
        <w:t xml:space="preserve">Target modules</w:t>
      </w:r>
    </w:p>
    <w:p>
      <w:pPr>
        <w:spacing w:after="200" w:before="0" w:line="276"/>
      </w:pPr>
      <w:r>
        <w:rPr>
          <w:rFonts w:ascii="Times New Roman" w:cs="Times New Roman" w:eastAsia="Times New Roman" w:hAnsi="Times New Roman"/>
          <w:color w:val="222222"/>
          <w:sz w:val="24"/>
          <w:szCs w:val="24"/>
        </w:rPr>
        <w:t xml:space="preserve">Importance is computed on modules whose names end with mlp.down_proj, the same family of MLP output projections used in the original MathNeuro setup. Hooks fire on the pre-activation input to each such module.</w:t>
      </w:r>
    </w:p>
    <w:p>
      <w:pPr>
        <w:pStyle w:val="Heading3"/>
        <w:spacing w:after="120" w:before="200"/>
      </w:pPr>
      <w:r>
        <w:rPr>
          <w:rFonts w:ascii="Times New Roman" w:cs="Times New Roman" w:eastAsia="Times New Roman" w:hAnsi="Times New Roman"/>
          <w:b/>
          <w:bCs/>
          <w:i/>
          <w:iCs/>
          <w:color w:val="2E5A88"/>
          <w:sz w:val="24"/>
          <w:szCs w:val="24"/>
        </w:rPr>
        <w:t xml:space="preserve">Importance scores</w:t>
      </w:r>
    </w:p>
    <w:p>
      <w:pPr>
        <w:spacing w:after="200" w:before="0" w:line="276"/>
      </w:pPr>
      <w:r>
        <w:rPr>
          <w:rFonts w:ascii="Times New Roman" w:cs="Times New Roman" w:eastAsia="Times New Roman" w:hAnsi="Times New Roman"/>
          <w:color w:val="222222"/>
          <w:sz w:val="24"/>
          <w:szCs w:val="24"/>
        </w:rPr>
        <w:t xml:space="preserve">For a batch of prompts we run a forward pass and accumulate a masked sum of squared activations over batch and sequence, using the attention mask so padding does not contribute. For each targeted module the importance tensor is the elementwise product of the absolute value of the weight matrix and the square root of the accumulated squared activations (broadcast over the output dimension). This is the weight × activation score: parameters that are both large in magnitude and strongly driven by the current prompt set receive high scores.</w:t>
      </w:r>
    </w:p>
    <w:p>
      <w:pPr>
        <w:spacing w:after="200" w:before="0" w:line="276"/>
      </w:pPr>
      <w:r>
        <w:rPr>
          <w:rFonts w:ascii="Times New Roman" w:cs="Times New Roman" w:eastAsia="Times New Roman" w:hAnsi="Times New Roman"/>
          <w:color w:val="222222"/>
          <w:sz w:val="24"/>
          <w:szCs w:val="24"/>
        </w:rPr>
        <w:t xml:space="preserve">Calibration uses up to 200 prompts per condition in the full setting; the pilot may use a smaller count with the same code path. Sequences are truncated at 512 tokens. Scores are accumulated across minibatches of size 8.</w:t>
      </w:r>
    </w:p>
    <w:p>
      <w:pPr>
        <w:pStyle w:val="Heading3"/>
        <w:spacing w:after="120" w:before="200"/>
      </w:pPr>
      <w:r>
        <w:rPr>
          <w:rFonts w:ascii="Times New Roman" w:cs="Times New Roman" w:eastAsia="Times New Roman" w:hAnsi="Times New Roman"/>
          <w:b/>
          <w:bCs/>
          <w:i/>
          <w:iCs/>
          <w:color w:val="2E5A88"/>
          <w:sz w:val="24"/>
          <w:szCs w:val="24"/>
        </w:rPr>
        <w:t xml:space="preserve">Isolating condition-specific parameters</w:t>
      </w:r>
    </w:p>
    <w:p>
      <w:pPr>
        <w:spacing w:after="200" w:before="0" w:line="276"/>
      </w:pPr>
      <w:r>
        <w:rPr>
          <w:rFonts w:ascii="Times New Roman" w:cs="Times New Roman" w:eastAsia="Times New Roman" w:hAnsi="Times New Roman"/>
          <w:color w:val="222222"/>
          <w:sz w:val="24"/>
          <w:szCs w:val="24"/>
        </w:rPr>
        <w:t xml:space="preserve">Let S_A and S_B be importance tensors for two prompt sets on the same layer. A top-k mask keeps the largest k entries of a flattened score tensor, where k is max(1, floor(ratio × number of entries)) and the default ratio is 0.01. The isolated A-not-B mask is the intersection of the top-k mask of S_A with the complement of the top-k mask of S_B. In the primary analyses we form:</w:t>
      </w:r>
    </w:p>
    <w:p>
      <w:pPr>
        <w:pStyle w:val="ListParagraph"/>
        <w:numPr>
          <w:ilvl w:val="0"/>
          <w:numId w:val="2"/>
        </w:numPr>
        <w:spacing w:after="80" w:line="276"/>
      </w:pPr>
      <w:r>
        <w:rPr>
          <w:rFonts w:ascii="Times New Roman" w:cs="Times New Roman" w:eastAsia="Times New Roman" w:hAnsi="Times New Roman"/>
          <w:color w:val="222222"/>
          <w:sz w:val="24"/>
          <w:szCs w:val="24"/>
        </w:rPr>
        <w:t xml:space="preserve">Math-shared candidates: parameters important for pure math and not for general language (WikiText-style controls), as a method check against MathNeuro.</w:t>
      </w:r>
    </w:p>
    <w:p>
      <w:pPr>
        <w:pStyle w:val="ListParagraph"/>
        <w:numPr>
          <w:ilvl w:val="0"/>
          <w:numId w:val="2"/>
        </w:numPr>
        <w:spacing w:after="80" w:line="276"/>
      </w:pPr>
      <w:r>
        <w:rPr>
          <w:rFonts w:ascii="Times New Roman" w:cs="Times New Roman" w:eastAsia="Times New Roman" w:hAnsi="Times New Roman"/>
          <w:color w:val="222222"/>
          <w:sz w:val="24"/>
          <w:szCs w:val="24"/>
        </w:rPr>
        <w:t xml:space="preserve">Finance-associated candidates: parameters important for financial word problems and not for the matched non-finance and/or nonsense controls.</w:t>
      </w:r>
    </w:p>
    <w:p>
      <w:pPr>
        <w:pStyle w:val="ListParagraph"/>
        <w:numPr>
          <w:ilvl w:val="0"/>
          <w:numId w:val="2"/>
        </w:numPr>
        <w:spacing w:after="80" w:line="276"/>
      </w:pPr>
      <w:r>
        <w:rPr>
          <w:rFonts w:ascii="Times New Roman" w:cs="Times New Roman" w:eastAsia="Times New Roman" w:hAnsi="Times New Roman"/>
          <w:color w:val="222222"/>
          <w:sz w:val="24"/>
          <w:szCs w:val="24"/>
        </w:rPr>
        <w:t xml:space="preserve">Shared calculation candidates: parameters that fall in the top-k set for pure math, finance, and non-finance.</w:t>
      </w:r>
    </w:p>
    <w:p>
      <w:pPr>
        <w:spacing w:after="200" w:before="0" w:line="276"/>
      </w:pPr>
      <w:r>
        <w:rPr>
          <w:rFonts w:ascii="Times New Roman" w:cs="Times New Roman" w:eastAsia="Times New Roman" w:hAnsi="Times New Roman"/>
          <w:color w:val="222222"/>
          <w:sz w:val="24"/>
          <w:szCs w:val="24"/>
        </w:rPr>
        <w:t xml:space="preserve">Pairwise overlap between these sets is reported as a raw count and as a fraction of each set. Because some overlap is expected by chance, we build a null distribution by drawing, many times (target: 1,000 draws when compute allows), random parameter sets of the same cardinality and, when possible, the same approximate layer allocation. Observed overlap is compared with that null.</w:t>
      </w:r>
    </w:p>
    <w:p>
      <w:pPr>
        <w:pStyle w:val="Heading2"/>
        <w:spacing w:after="140" w:before="280"/>
      </w:pPr>
      <w:r>
        <w:rPr>
          <w:rFonts w:ascii="Times New Roman" w:cs="Times New Roman" w:eastAsia="Times New Roman" w:hAnsi="Times New Roman"/>
          <w:b/>
          <w:bCs/>
          <w:color w:val="1F4E79"/>
          <w:sz w:val="26"/>
          <w:szCs w:val="26"/>
        </w:rPr>
        <w:t xml:space="preserve">Causal check by pruning</w:t>
      </w:r>
    </w:p>
    <w:p>
      <w:pPr>
        <w:spacing w:after="200" w:before="0" w:line="276"/>
      </w:pPr>
      <w:r>
        <w:rPr>
          <w:rFonts w:ascii="Times New Roman" w:cs="Times New Roman" w:eastAsia="Times New Roman" w:hAnsi="Times New Roman"/>
          <w:color w:val="222222"/>
          <w:sz w:val="24"/>
          <w:szCs w:val="24"/>
        </w:rPr>
        <w:t xml:space="preserve">Isolated masks are applied by writing the selected weights to zero (multiplicative factor 0) while caching the original values for restoration. After evaluation the cached weights are copied back so later conditions see an unmodified model. The same number of parameters is also zeroed under random masks with independent seeds; the pilot uses three random trials. Interpretation follows the proposal:</w:t>
      </w:r>
    </w:p>
    <w:p>
      <w:pPr>
        <w:pStyle w:val="ListParagraph"/>
        <w:numPr>
          <w:ilvl w:val="0"/>
          <w:numId w:val="2"/>
        </w:numPr>
        <w:spacing w:after="80" w:line="276"/>
      </w:pPr>
      <w:r>
        <w:rPr>
          <w:rFonts w:ascii="Times New Roman" w:cs="Times New Roman" w:eastAsia="Times New Roman" w:hAnsi="Times New Roman"/>
          <w:color w:val="222222"/>
          <w:sz w:val="24"/>
          <w:szCs w:val="24"/>
        </w:rPr>
        <w:t xml:space="preserve">If pruning math-isolated parameters hurts all mathematically equivalent conditions, those parameters are treated as shared calculation structure.</w:t>
      </w:r>
    </w:p>
    <w:p>
      <w:pPr>
        <w:pStyle w:val="ListParagraph"/>
        <w:numPr>
          <w:ilvl w:val="0"/>
          <w:numId w:val="2"/>
        </w:numPr>
        <w:spacing w:after="80" w:line="276"/>
      </w:pPr>
      <w:r>
        <w:rPr>
          <w:rFonts w:ascii="Times New Roman" w:cs="Times New Roman" w:eastAsia="Times New Roman" w:hAnsi="Times New Roman"/>
          <w:color w:val="222222"/>
          <w:sz w:val="24"/>
          <w:szCs w:val="24"/>
        </w:rPr>
        <w:t xml:space="preserve">If pruning finance-isolated parameters hurts finance items substantially more than pure-math and non-finance items, those parameters are treated as finance-interpretation structure.</w:t>
      </w:r>
    </w:p>
    <w:p>
      <w:pPr>
        <w:pStyle w:val="ListParagraph"/>
        <w:numPr>
          <w:ilvl w:val="0"/>
          <w:numId w:val="2"/>
        </w:numPr>
        <w:spacing w:after="80" w:line="276"/>
      </w:pPr>
      <w:r>
        <w:rPr>
          <w:rFonts w:ascii="Times New Roman" w:cs="Times New Roman" w:eastAsia="Times New Roman" w:hAnsi="Times New Roman"/>
          <w:color w:val="222222"/>
          <w:sz w:val="24"/>
          <w:szCs w:val="24"/>
        </w:rPr>
        <w:t xml:space="preserve">If random pruning of the same count produces a similar drop, the targeted mask is not treated as specific.</w:t>
      </w:r>
    </w:p>
    <w:p>
      <w:pPr>
        <w:pStyle w:val="Heading2"/>
        <w:spacing w:after="140" w:before="280"/>
      </w:pPr>
      <w:r>
        <w:rPr>
          <w:rFonts w:ascii="Times New Roman" w:cs="Times New Roman" w:eastAsia="Times New Roman" w:hAnsi="Times New Roman"/>
          <w:b/>
          <w:bCs/>
          <w:color w:val="1F4E79"/>
          <w:sz w:val="26"/>
          <w:szCs w:val="26"/>
        </w:rPr>
        <w:t xml:space="preserve">Additional analyses</w:t>
      </w:r>
    </w:p>
    <w:p>
      <w:pPr>
        <w:spacing w:after="200" w:before="0" w:line="276"/>
      </w:pPr>
      <w:r>
        <w:rPr>
          <w:rFonts w:ascii="Times New Roman" w:cs="Times New Roman" w:eastAsia="Times New Roman" w:hAnsi="Times New Roman"/>
          <w:color w:val="222222"/>
          <w:sz w:val="24"/>
          <w:szCs w:val="24"/>
        </w:rPr>
        <w:t xml:space="preserve">We record the layer index of isolated parameters to see whether finance-associated and math-associated weights concentrate in different depths. We re-run localization on paraphrased stems of the same quadruplet. Token-length gaps across conditions are tabulated so that any remaining length confound is visible in the write-up rather than only in logs.</w:t>
      </w:r>
    </w:p>
    <w:p>
      <w:pPr>
        <w:pStyle w:val="Heading2"/>
        <w:spacing w:after="140" w:before="280"/>
      </w:pPr>
      <w:r>
        <w:rPr>
          <w:rFonts w:ascii="Times New Roman" w:cs="Times New Roman" w:eastAsia="Times New Roman" w:hAnsi="Times New Roman"/>
          <w:b/>
          <w:bCs/>
          <w:color w:val="1F4E79"/>
          <w:sz w:val="26"/>
          <w:szCs w:val="26"/>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8"/>
              <w:left w:val="single" w:color="BFBFBF" w:sz="8"/>
              <w:bottom w:val="single" w:color="BFBFBF" w:sz="8"/>
              <w:right w:val="single" w:color="BFBFBF" w:sz="8"/>
            </w:tcBorders>
            <w:shd w:fill="1F4E79"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Metric</w:t>
            </w:r>
          </w:p>
        </w:tc>
        <w:tc>
          <w:tcPr>
            <w:tcW w:type="dxa" w:w="5760"/>
            <w:tcBorders>
              <w:top w:val="single" w:color="BFBFBF" w:sz="8"/>
              <w:left w:val="single" w:color="BFBFBF" w:sz="8"/>
              <w:bottom w:val="single" w:color="BFBFBF" w:sz="8"/>
              <w:right w:val="single" w:color="BFBFBF" w:sz="8"/>
            </w:tcBorders>
            <w:shd w:fill="1F4E79"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Purpose</w:t>
            </w:r>
          </w:p>
        </w:tc>
      </w:tr>
      <w:tr>
        <w:tc>
          <w:tcPr>
            <w:tcW w:type="dxa" w:w="360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Per-condition baseline accuracy</w:t>
            </w:r>
          </w:p>
        </w:tc>
        <w:tc>
          <w:tcPr>
            <w:tcW w:type="dxa" w:w="576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Gate for mechanistic analysis; compare difficulty across frames</w:t>
            </w:r>
          </w:p>
        </w:tc>
      </w:tr>
      <w:tr>
        <w:tc>
          <w:tcPr>
            <w:tcW w:type="dxa" w:w="3600"/>
            <w:tcBorders>
              <w:top w:val="single" w:color="BFBFBF" w:sz="8"/>
              <w:left w:val="single" w:color="BFBFBF" w:sz="8"/>
              <w:bottom w:val="single" w:color="BFBFBF" w:sz="8"/>
              <w:right w:val="single" w:color="BFBFBF" w:sz="8"/>
            </w:tcBorders>
            <w:shd w:fill="F2F6FA"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Accuracy after targeted prune</w:t>
            </w:r>
          </w:p>
        </w:tc>
        <w:tc>
          <w:tcPr>
            <w:tcW w:type="dxa" w:w="5760"/>
            <w:tcBorders>
              <w:top w:val="single" w:color="BFBFBF" w:sz="8"/>
              <w:left w:val="single" w:color="BFBFBF" w:sz="8"/>
              <w:bottom w:val="single" w:color="BFBFBF" w:sz="8"/>
              <w:right w:val="single" w:color="BFBFBF" w:sz="8"/>
            </w:tcBorders>
            <w:shd w:fill="F2F6FA"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Causal effect of the isolated parameter set</w:t>
            </w:r>
          </w:p>
        </w:tc>
      </w:tr>
      <w:tr>
        <w:tc>
          <w:tcPr>
            <w:tcW w:type="dxa" w:w="360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Accuracy after random prune</w:t>
            </w:r>
          </w:p>
        </w:tc>
        <w:tc>
          <w:tcPr>
            <w:tcW w:type="dxa" w:w="576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Control for “any pruning hurts”</w:t>
            </w:r>
          </w:p>
        </w:tc>
      </w:tr>
      <w:tr>
        <w:tc>
          <w:tcPr>
            <w:tcW w:type="dxa" w:w="3600"/>
            <w:tcBorders>
              <w:top w:val="single" w:color="BFBFBF" w:sz="8"/>
              <w:left w:val="single" w:color="BFBFBF" w:sz="8"/>
              <w:bottom w:val="single" w:color="BFBFBF" w:sz="8"/>
              <w:right w:val="single" w:color="BFBFBF" w:sz="8"/>
            </w:tcBorders>
            <w:shd w:fill="F2F6FA"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Targeted minus random drop</w:t>
            </w:r>
          </w:p>
        </w:tc>
        <w:tc>
          <w:tcPr>
            <w:tcW w:type="dxa" w:w="5760"/>
            <w:tcBorders>
              <w:top w:val="single" w:color="BFBFBF" w:sz="8"/>
              <w:left w:val="single" w:color="BFBFBF" w:sz="8"/>
              <w:bottom w:val="single" w:color="BFBFBF" w:sz="8"/>
              <w:right w:val="single" w:color="BFBFBF" w:sz="8"/>
            </w:tcBorders>
            <w:shd w:fill="F2F6FA"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Specificity of the isolated set</w:t>
            </w:r>
          </w:p>
        </w:tc>
      </w:tr>
      <w:tr>
        <w:tc>
          <w:tcPr>
            <w:tcW w:type="dxa" w:w="360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Finance vs non-finance prune drop</w:t>
            </w:r>
          </w:p>
        </w:tc>
        <w:tc>
          <w:tcPr>
            <w:tcW w:type="dxa" w:w="576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Domain effect after matched math</w:t>
            </w:r>
          </w:p>
        </w:tc>
      </w:tr>
      <w:tr>
        <w:tc>
          <w:tcPr>
            <w:tcW w:type="dxa" w:w="3600"/>
            <w:tcBorders>
              <w:top w:val="single" w:color="BFBFBF" w:sz="8"/>
              <w:left w:val="single" w:color="BFBFBF" w:sz="8"/>
              <w:bottom w:val="single" w:color="BFBFBF" w:sz="8"/>
              <w:right w:val="single" w:color="BFBFBF" w:sz="8"/>
            </w:tcBorders>
            <w:shd w:fill="F2F6FA"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Parameter-set overlap vs null</w:t>
            </w:r>
          </w:p>
        </w:tc>
        <w:tc>
          <w:tcPr>
            <w:tcW w:type="dxa" w:w="5760"/>
            <w:tcBorders>
              <w:top w:val="single" w:color="BFBFBF" w:sz="8"/>
              <w:left w:val="single" w:color="BFBFBF" w:sz="8"/>
              <w:bottom w:val="single" w:color="BFBFBF" w:sz="8"/>
              <w:right w:val="single" w:color="BFBFBF" w:sz="8"/>
            </w:tcBorders>
            <w:shd w:fill="F2F6FA"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Whether shared masks exceed chance</w:t>
            </w:r>
          </w:p>
        </w:tc>
      </w:tr>
      <w:tr>
        <w:tc>
          <w:tcPr>
            <w:tcW w:type="dxa" w:w="360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Token-count gaps</w:t>
            </w:r>
          </w:p>
        </w:tc>
        <w:tc>
          <w:tcPr>
            <w:tcW w:type="dxa" w:w="5760"/>
            <w:tcBorders>
              <w:top w:val="single" w:color="BFBFBF" w:sz="8"/>
              <w:left w:val="single" w:color="BFBFBF" w:sz="8"/>
              <w:bottom w:val="single" w:color="BFBFBF" w:sz="8"/>
              <w:right w:val="single" w:color="BFBFBF" w:sz="8"/>
            </w:tcBorders>
            <w:shd w:fill="FFFFFF" w:val="clear"/>
            <w:tcMar>
              <w:top w:type="dxa" w:w="60"/>
              <w:left w:type="dxa" w:w="80"/>
              <w:bottom w:type="dxa" w:w="60"/>
              <w:right w:type="dxa" w:w="80"/>
            </w:tcMar>
          </w:tcPr>
          <w:p>
            <w:r>
              <w:rPr>
                <w:rFonts w:ascii="Times New Roman" w:cs="Times New Roman" w:eastAsia="Times New Roman" w:hAnsi="Times New Roman"/>
                <w:b w:val="false"/>
                <w:bCs w:val="false"/>
                <w:color w:val="222222"/>
                <w:sz w:val="20"/>
                <w:szCs w:val="20"/>
              </w:rPr>
              <w:t xml:space="preserve">Check that localization is not a length artifact</w:t>
            </w:r>
          </w:p>
        </w:tc>
      </w:tr>
    </w:tbl>
    <w:p>
      <w:pPr>
        <w:spacing w:after="200"/>
      </w:pPr>
    </w:p>
    <w:p>
      <w:pPr>
        <w:pStyle w:val="Heading2"/>
        <w:spacing w:after="140" w:before="280"/>
      </w:pPr>
      <w:r>
        <w:rPr>
          <w:rFonts w:ascii="Times New Roman" w:cs="Times New Roman" w:eastAsia="Times New Roman" w:hAnsi="Times New Roman"/>
          <w:b/>
          <w:bCs/>
          <w:color w:val="1F4E79"/>
          <w:sz w:val="26"/>
          <w:szCs w:val="26"/>
        </w:rPr>
        <w:t xml:space="preserve">Reproducibility and experiment tracking</w:t>
      </w:r>
    </w:p>
    <w:p>
      <w:pPr>
        <w:spacing w:after="200" w:before="0" w:line="276"/>
      </w:pPr>
      <w:r>
        <w:rPr>
          <w:rFonts w:ascii="Times New Roman" w:cs="Times New Roman" w:eastAsia="Times New Roman" w:hAnsi="Times New Roman"/>
          <w:color w:val="222222"/>
          <w:sz w:val="24"/>
          <w:szCs w:val="24"/>
        </w:rPr>
        <w:t xml:space="preserve">Each run writes a timestamped directory containing the full configuration, environment (Python, PyTorch, CUDA), model Hub SHA, dataset fingerprints from Hugging Face Datasets where applicable, SHA-256 hashes of the exact prompt lists, token-length summaries, numeric results, and the isolated masks as a PyTorch file. Optional Weights &amp; Biases logging records the same config and metrics. Seeds and Hub revisions are the intended recipe for rerunning a result; prompt hashes detect silent dataset edits.</w:t>
      </w:r>
    </w:p>
    <w:p>
      <w:pPr>
        <w:pStyle w:val="Heading2"/>
        <w:spacing w:after="140" w:before="280"/>
      </w:pPr>
      <w:r>
        <w:rPr>
          <w:rFonts w:ascii="Times New Roman" w:cs="Times New Roman" w:eastAsia="Times New Roman" w:hAnsi="Times New Roman"/>
          <w:b/>
          <w:bCs/>
          <w:color w:val="1F4E79"/>
          <w:sz w:val="26"/>
          <w:szCs w:val="26"/>
        </w:rPr>
        <w:t xml:space="preserve">Limitations of the method as implemented</w:t>
      </w:r>
    </w:p>
    <w:p>
      <w:pPr>
        <w:spacing w:after="200" w:before="0" w:line="276"/>
      </w:pPr>
      <w:r>
        <w:rPr>
          <w:rFonts w:ascii="Times New Roman" w:cs="Times New Roman" w:eastAsia="Times New Roman" w:hAnsi="Times New Roman"/>
          <w:color w:val="222222"/>
          <w:sz w:val="24"/>
          <w:szCs w:val="24"/>
        </w:rPr>
        <w:t xml:space="preserve">Pruning shows that a parameter set is necessary for a performance drop; it does not show that each weight “is” finance or “is” arithmetic. Wording differences that survive the templates can still move importance scores. A 0.5B model may under-represent mechanisms in larger models, which is why the pipeline is written to swap model_id without changing the rest of the procedure. Exact token equality between symbolic math and word problems is not always possible; we minimize and report the gap instead of claiming perfect matching.</w:t>
      </w:r>
    </w:p>
    <w:p>
      <w:pPr>
        <w:spacing w:after="0" w:before="0" w:line="276"/>
      </w:pPr>
      <w:r>
        <w:rPr>
          <w:rFonts w:ascii="Times New Roman" w:cs="Times New Roman" w:eastAsia="Times New Roman" w:hAnsi="Times New Roman"/>
          <w:i/>
          <w:iCs/>
          <w:color w:val="555555"/>
          <w:sz w:val="24"/>
          <w:szCs w:val="24"/>
        </w:rPr>
        <w:t xml:space="preserve">Draft status: this Methods section follows the TEAM KHAT proposal, the MathNeuro forward-pass procedure, and the tracked evaluation pipeline (Qwen2.5-0.5B-Instruct pilot, mlp.down_proj targets, top-k ratio 0.01). Control-condition wording should be replaced with the exact template locked in the mentor checkpoint before the dataset is described as final in a submitted paper.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8"/>
        <w:szCs w:val="18"/>
      </w:rPr>
      <w:t xml:space="preserve">TEAM KHAT  |  Methods draft  |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2026-09-30T01:56:47.706Z</dcterms:created>
  <dcterms:modified xsi:type="dcterms:W3CDTF">2026-09-30T01:56:47.706Z</dcterms:modified>
</cp:coreProperties>
</file>

<file path=docProps/custom.xml><?xml version="1.0" encoding="utf-8"?>
<Properties xmlns="http://schemas.openxmlformats.org/officeDocument/2006/custom-properties" xmlns:vt="http://schemas.openxmlformats.org/officeDocument/2006/docPropsVTypes"/>
</file>