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r>
        <w:t>Body with an endnote</w:t>
      </w:r>
      <w:r>
        <w:endnoteReference w:id="2"/>
      </w:r>
    </w:p>
    <w:p>
      <w:r>
        <w:t>Second reference</w:t>
        <w:endnoteReference w:id="1"/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First note body</w:t>
      </w:r>
    </w:p>
  </w:endnote>
  <w:endnote w:id="2">
    <w:p>
      <w:r>
        <w:endnoteRef/>
        <w:t>Second 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