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>Before equation</w:t>
      </w:r>
    </w:p>
    <w:p>
      <m:oMathPara>
        <m:oMath>
          <m:f>
            <m:num>
              <m:r>
                <w:rPr>
                  <w:sz w:val="40"/>
                </w:rPr>
                <m:t>1</m:t>
              </m:r>
            </m:num>
            <m:den>
              <m:r>
                <w:rPr>
                  <w:sz w:val="40"/>
                </w:rPr>
                <m:t>2</m:t>
              </m:r>
            </m:den>
          </m:f>
        </m:oMath>
      </m:oMathPara>
    </w:p>
    <w:p>
      <w:r>
        <w:t>After equation</w:t>
      </w:r>
    </w:p>
  </w:body>
</w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