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p w:rsidR="006E77AD" w:rsidRDefault="005449B4" w:rsidP="005449B4">
      <w:pPr>
        <w:pStyle w:val="VisibleDerived"/>
        <w:bidi w:val="0"/>
      </w:pPr>
      <w:r w:rsidRPr="005449B4">
        <w:rPr>
          <w:rStyle w:val="VisibleAccent"/>
          <w:b w:val="0"/>
        </w:rPr>
        <w:t>Body reset ABC 321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  <w:p w:rsidR="005449B4" w:rsidRDefault="005449B4" w:rsidP="005449B4">
    <w:pPr>
      <w:pStyle w:val="VisibleDerived"/>
      <w:bidi w:val="0"/>
    </w:pPr>
    <w:r w:rsidRPr="005449B4">
      <w:rPr>
        <w:rStyle w:val="VisibleAccent"/>
      </w:rPr>
      <w:t>Footer reset GHI 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  <w:p w:rsidR="005449B4" w:rsidRDefault="005449B4" w:rsidP="005449B4">
    <w:pPr>
      <w:pStyle w:val="VisibleDerived"/>
      <w:bidi w:val="0"/>
    </w:pPr>
    <w:r w:rsidRPr="005449B4">
      <w:rPr>
        <w:rStyle w:val="VisibleAccent"/>
        <w:b w:val="0"/>
      </w:rPr>
      <w:t>Header reset DEF 654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