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Calibri"/>
          <w:fitText w:val="2880" w:id="7"/>
        </w:rPr>
        <w:t xml:space="preserve">Résumé élève déjà </w:t>
      </w:r>
      <w:r>
        <w:rPr>
          <w:rFonts w:ascii="Calibri" w:hAnsi="Arial Black" w:eastAsia="Calibri"/>
          <w:fitText w:val="2880" w:id="7"/>
        </w:rPr>
        <w:t>façade naïve.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Calibri"/>
        <w:fitText w:val="1800" w:id="9"/>
      </w:rPr>
      <w:t>Footer résumé élève déjà façade naïve.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Calibri"/>
        <w:fitText w:val="1800" w:id="8"/>
      </w:rPr>
      <w:t>Aé—“”‘’€Ω漢B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