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3.svg" ContentType="image/svg+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aquatic ecology</w:t>
      </w:r>
    </w:p>
    <w:p>
      <w:pPr>
        <w:pStyle w:val="Author"/>
      </w:pPr>
      <w:r>
        <w:t xml:space="preserve">Gaspard Ringuenet</w:t>
      </w:r>
    </w:p>
    <w:p>
      <w:pPr>
        <w:pStyle w:val="Author"/>
      </w:pPr>
      <w:r>
        <w:t xml:space="preserve">Alejandro Ariza</w:t>
      </w:r>
    </w:p>
    <w:p>
      <w:pPr>
        <w:pStyle w:val="Author"/>
      </w:pPr>
      <w:r>
        <w:t xml:space="preserve">Gildas Roudaut</w:t>
      </w:r>
    </w:p>
    <w:p>
      <w:pPr>
        <w:pStyle w:val="Author"/>
      </w:pPr>
      <w:r>
        <w:t xml:space="preserve">William Puech</w:t>
      </w:r>
    </w:p>
    <w:p>
      <w:pPr>
        <w:pStyle w:val="Author"/>
      </w:pPr>
      <w:r>
        <w:t xml:space="preserve">Arnaud Bertrand</w:t>
      </w:r>
    </w:p>
    <w:p>
      <w:pPr>
        <w:pStyle w:val="Date"/>
      </w:pPr>
      <w:r>
        <w:t xml:space="preserve">2026-10-27</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in this paper applies to echograms from any aquatic environment, the examples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m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tasks that acoustic operators spend the most time on, and the first step in ecosystem acoustic processing.</w:t>
      </w:r>
    </w:p>
    <w:p>
      <w:pPr>
        <w:pStyle w:val="BodyText"/>
      </w:pPr>
      <w:r>
        <w:t xml:space="preserve">To bridge this gap, we propose Echolabel, a minimalist Python application for echogram annotation, built to be interoperable with Echostack / Echoregions. Its scope is narrower than that of most GUI-based acoustic software, which provide suites of analysis-ready computation tools. Echolabel rather focuses on the annotation task only, and is thought as a module in open-source acoustic processing pipelines. To do so it leverages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application configuration, command-line inputs, cached data management, and parsing annotation files.</w:t>
      </w:r>
    </w:p>
    <w:p>
      <w:pPr>
        <w:pStyle w:val="BodyText"/>
      </w:pPr>
      <w:r>
        <w:t xml:space="preserve">It is minimalist, comprising 13 Python modules with rougly 100 - 200 lines of code each, and avoids re-implementing existing functionalities as much as possible. The annotation interface is entirely provided by LabelMe v6.0.0</w:t>
      </w:r>
      <w:r>
        <w:t xml:space="preserve"> </w:t>
      </w:r>
      <w:r>
        <w:t xml:space="preserve">[17]</w:t>
      </w:r>
      <w:r>
        <w:t xml:space="preserve">,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programming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wrapps around LabelMe, essentially handling shapes coordinates conversion logic.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[18]</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data format</w:t>
      </w:r>
      <w:r>
        <w:t xml:space="preserve"> </w:t>
      </w:r>
      <w:r>
        <w:t xml:space="preserve">[19]</w:t>
      </w:r>
      <w:r>
        <w:t xml:space="preserve"> </w:t>
      </w:r>
      <w:r>
        <w:t xml:space="preserve">and the coordinate/variable names adopted by Echostack (namely using</w:t>
      </w:r>
      <w:r>
        <w:t xml:space="preserve"> </w:t>
      </w:r>
      <w:r>
        <w:t xml:space="preserve">“ping_time”</w:t>
      </w:r>
      <w:r>
        <w:t xml:space="preserve"> </w:t>
      </w:r>
      <w:r>
        <w:t xml:space="preserve">instead of</w:t>
      </w:r>
      <w:r>
        <w:t xml:space="preserve"> </w:t>
      </w:r>
      <w:r>
        <w:t xml:space="preserve">“time”</w:t>
      </w:r>
      <w:r>
        <w:t xml:space="preserve"> </w:t>
      </w:r>
      <w:r>
        <w:t xml:space="preserve">as time dimension coordinate name).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Indeed,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[20,21]</w:t>
      </w:r>
      <w:r>
        <w:t xml:space="preserve">). The background (where no channel is active) colour can also be specified in the configuration (as a matplotlib-compatible string or tuple).</w:t>
      </w:r>
    </w:p>
    <w:p>
      <w:pPr>
        <w:pStyle w:val="BodyText"/>
      </w:pPr>
      <w:r>
        <w:t xml:space="preserve">Running the application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w:t>
      </w:r>
      <w:r>
        <w:t xml:space="preserve"> </w:t>
      </w:r>
      <w:r>
        <w:rPr>
          <w:rStyle w:val="VerbatimChar"/>
        </w:rPr>
        <w:t xml:space="preserve">Regions2D</w:t>
      </w:r>
      <w:r>
        <w:t xml:space="preserve"> </w:t>
      </w:r>
      <w:r>
        <w:t xml:space="preserve">objects can represent polygons only. For this reason, polygon and rectangle LabelMe tools are the only ones whose shapes can be converted (output from other tools is ignored). Once the annotation-format conversion is done, the CSV file is created or updated, and is then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9"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[22,23]</w:t>
      </w:r>
      <w:r>
        <w:t xml:space="preserve">. Two configurations were used: a ping rate of 0.45 s for seabed depth less than 150 m, and a ping rate of 2.4 s for deeper areas, recording to depth up to 750 m. The echosounder was calibrated mid-survey in Fernando de Noronha using standard protocols</w:t>
      </w:r>
      <w:r>
        <w:t xml:space="preserve"> </w:t>
      </w:r>
      <w:r>
        <w:t xml:space="preserve">[24]</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part of the shelf of the Fernando de Noronha island up to ~50 m deep.</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DataTypeTok"/>
              </w:rPr>
              <w:t xml:space="preserve">\ </w:t>
            </w:r>
            <w:r>
              <w:rPr>
                <w:rStyle w:val="NormalTok"/>
              </w:rPr>
              <w:t xml:space="preserve">                       </w:t>
            </w:r>
            <w:r>
              <w:rPr>
                <w:rStyle w:val="CommentTok"/>
              </w:rPr>
              <w:t xml:space="preserve"># RGB composite echogram</w:t>
            </w:r>
            <w:r>
              <w:br/>
            </w:r>
            <w:r>
              <w:rPr>
                <w:rStyle w:val="ExtensionTok"/>
              </w:rPr>
              <w:t xml:space="preserve">--vmin</w:t>
            </w:r>
            <w:r>
              <w:rPr>
                <w:rStyle w:val="NormalTok"/>
              </w:rPr>
              <w:t xml:space="preserve"> </w:t>
            </w:r>
            <w:r>
              <w:rPr>
                <w:rStyle w:val="AttributeTok"/>
              </w:rPr>
              <w:t xml:space="preserve">-90</w:t>
            </w:r>
            <w:r>
              <w:rPr>
                <w:rStyle w:val="NormalTok"/>
              </w:rPr>
              <w:t xml:space="preserve"> </w:t>
            </w:r>
            <w:r>
              <w:rPr>
                <w:rStyle w:val="AttributeTok"/>
              </w:rPr>
              <w:t xml:space="preserve">--vmax</w:t>
            </w:r>
            <w:r>
              <w:rPr>
                <w:rStyle w:val="NormalTok"/>
              </w:rPr>
              <w:t xml:space="preserve"> </w:t>
            </w:r>
            <w:r>
              <w:rPr>
                <w:rStyle w:val="AttributeTok"/>
              </w:rPr>
              <w:t xml:space="preserve">-50</w:t>
            </w:r>
            <w:r>
              <w:rPr>
                <w:rStyle w:val="NormalTok"/>
              </w:rPr>
              <w:t xml:space="preserve">               </w:t>
            </w:r>
            <w:r>
              <w:rPr>
                <w:rStyle w:val="CommentTok"/>
              </w:rPr>
              <w:t xml:space="preserve"># Color scale bounds</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408521"/>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4085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elongated grey shape is masked out double echo data. The second grey shape on the right of the echogram indicates pixels below the ocean floor. Horizontal colour boundaries result from the channels’ range limits (e.g. the 120 kHz channel becomes to noisy around 250 m deep and data is removed below). Manually created polygonal shapes are overlayed on top of the echogram. The associated labels with are visible in the “Annotation List” panel, and as a non-duplicated list in the “Label List” panel. A</w:t>
            </w:r>
            <w:r>
              <w:t xml:space="preserve"> </w:t>
            </w:r>
            <w:r>
              <w:t xml:space="preserve">“Layer”</w:t>
            </w:r>
            <w:r>
              <w:t xml:space="preserve"> </w:t>
            </w:r>
            <w:r>
              <w:t xml:space="preserve">annotation and the corresponding polygon are being edited and so they are highlighted.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The following sections therefore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dominant) and two greenish (70 kHz dominant) regions, in different oceanographic setups (pelagic or on shelf edge), depths (150 m or 50 m) and intensity (seemingly stronger near the shelf)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[18]</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Despite a thorough cleaning of acoustic data, some unwanted signal or noise may still be present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11875"/>
                  <wp:effectExtent b="0" l="0" r="0" t="0"/>
                  <wp:docPr descr="" title="" id="29" name="Picture"/>
                  <a:graphic>
                    <a:graphicData uri="http://schemas.openxmlformats.org/drawingml/2006/picture">
                      <pic:pic>
                        <pic:nvPicPr>
                          <pic:cNvPr descr="images/basic-annotation-tasks-wlayer.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6111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8"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595437"/>
                  <wp:effectExtent b="0" l="0" r="0" t="0"/>
                  <wp:docPr descr="" title="" id="34" name="Picture"/>
                  <a:graphic>
                    <a:graphicData uri="http://schemas.openxmlformats.org/drawingml/2006/picture">
                      <pic:pic>
                        <pic:nvPicPr>
                          <pic:cNvPr descr="images/fuzzy-layer-analysis.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595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6"/>
        </w:tc>
      </w:tr>
    </w:tbl>
    <w:p>
      <w:pPr>
        <w:pStyle w:val="BodyText"/>
      </w:pPr>
      <w:r>
        <w:t xml:space="preserve">A wide variety of data analyses can be conducted using masked echograms. In this section we propose to illustrate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 Since the vessel was moving during data acquisition, we must also make the assumption that the observed variations in the layer depth are caused by organisms moving vertically in the water column, and not due to spatial heterogeneity.</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[18]</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intuition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Under our assumptions, this result is consistent with the tilt-angle hypothesis, i.e., variations in frequency response are here associated with the movements of the fish rather than with changes in species composition, although the latter cannot be ruled out entirely. The correlation also provides evidence that we observe the actual speed of organisms and not spatial variability, supporting both work assumptions.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at 12:30, 13:00 and 15:00,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[25]</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 (predators usually attack from bellow, which is coherent with upward fleeing behaviour</w:t>
      </w:r>
      <w:r>
        <w:t xml:space="preserve"> </w:t>
      </w:r>
      <w:hyperlink r:id="rId37">
        <w:r>
          <w:rPr>
            <w:rStyle w:val="Hyperlink"/>
          </w:rPr>
          <w:t xml:space="preserve">ref</w:t>
        </w:r>
      </w:hyperlink>
      <w:r>
        <w:t xml:space="preserve">) 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8"/>
    <w:bookmarkEnd w:id="39"/>
    <w:bookmarkStart w:id="42"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is not intended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40">
        <w:r>
          <w:rPr>
            <w:rStyle w:val="Hyperlink"/>
          </w:rPr>
          <w:t xml:space="preserve">HoloViews</w:t>
        </w:r>
      </w:hyperlink>
      <w:r>
        <w:t xml:space="preserve"> </w:t>
      </w:r>
      <w:r>
        <w:t xml:space="preserve">library might be a suitable approach, allowing users to create custom interfaces easily using</w:t>
      </w:r>
      <w:r>
        <w:t xml:space="preserve"> </w:t>
      </w:r>
      <w:hyperlink r:id="rId41">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2"/>
    <w:bookmarkStart w:id="43"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illustrate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such as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3"/>
    <w:bookmarkStart w:id="45"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4">
        <w:r>
          <w:rPr>
            <w:rStyle w:val="Hyperlink"/>
          </w:rPr>
          <w:t xml:space="preserve">https://github.com/gaspardringuenet/echolabel-manuscript</w:t>
        </w:r>
      </w:hyperlink>
      <w:r>
        <w:t xml:space="preserve">).</w:t>
      </w:r>
    </w:p>
    <w:bookmarkEnd w:id="45"/>
    <w:bookmarkStart w:id="4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6"/>
    <w:bookmarkStart w:id="47" w:name="artificial-intelligence-ai-use-statement"/>
    <w:p>
      <w:pPr>
        <w:pStyle w:val="Heading2"/>
      </w:pPr>
      <w:r>
        <w:t xml:space="preserve">Artificial intelligence (AI) use statement</w:t>
      </w:r>
    </w:p>
    <w:p>
      <w:pPr>
        <w:pStyle w:val="FirstParagraph"/>
      </w:pPr>
      <w:r>
        <w:t xml:space="preserve">AI-based tools were used throughout software development to assist with planning, code review, improvement suggestions, debugging and writing tests. All AI-written code has been reviewed. AI tools were used for review only during manuscript preparation, and for clarity improvement in the abstract section.</w:t>
      </w:r>
    </w:p>
    <w:bookmarkEnd w:id="47"/>
    <w:bookmarkStart w:id="48"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8"/>
    <w:bookmarkStart w:id="50"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9">
        <w:r>
          <w:rPr>
            <w:rStyle w:val="Hyperlink"/>
          </w:rPr>
          <w:t xml:space="preserve">www.tapioca.ird.fr</w:t>
        </w:r>
      </w:hyperlink>
      <w:r>
        <w:t xml:space="preserve">).</w:t>
      </w:r>
    </w:p>
    <w:bookmarkEnd w:id="50"/>
    <w:bookmarkStart w:id="101" w:name="references"/>
    <w:p>
      <w:pPr>
        <w:pStyle w:val="Heading2"/>
      </w:pPr>
      <w:r>
        <w:t xml:space="preserve">References</w:t>
      </w:r>
    </w:p>
    <w:bookmarkStart w:id="100" w:name="refs"/>
    <w:bookmarkStart w:id="52"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1">
        <w:r>
          <w:rPr>
            <w:rStyle w:val="Hyperlink"/>
          </w:rPr>
          <w:t xml:space="preserve">10.1146/annurev-marine-122414-034001</w:t>
        </w:r>
      </w:hyperlink>
      <w:r>
        <w:t xml:space="preserve">.</w:t>
      </w:r>
    </w:p>
    <w:bookmarkEnd w:id="52"/>
    <w:bookmarkStart w:id="54"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3">
        <w:r>
          <w:rPr>
            <w:rStyle w:val="Hyperlink"/>
          </w:rPr>
          <w:t xml:space="preserve">10.1038/ncomms4271</w:t>
        </w:r>
      </w:hyperlink>
      <w:r>
        <w:t xml:space="preserve">.</w:t>
      </w:r>
    </w:p>
    <w:bookmarkEnd w:id="54"/>
    <w:bookmarkStart w:id="56"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5">
        <w:r>
          <w:rPr>
            <w:rStyle w:val="Hyperlink"/>
          </w:rPr>
          <w:t xml:space="preserve">10.1111/ele.14510</w:t>
        </w:r>
      </w:hyperlink>
      <w:r>
        <w:t xml:space="preserve">.</w:t>
      </w:r>
    </w:p>
    <w:bookmarkEnd w:id="56"/>
    <w:bookmarkStart w:id="58"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7">
        <w:r>
          <w:rPr>
            <w:rStyle w:val="Hyperlink"/>
          </w:rPr>
          <w:t xml:space="preserve">10.1146/annurev-marine-031623-095435</w:t>
        </w:r>
      </w:hyperlink>
      <w:r>
        <w:t xml:space="preserve">.</w:t>
      </w:r>
    </w:p>
    <w:bookmarkEnd w:id="58"/>
    <w:bookmarkStart w:id="60"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9">
        <w:r>
          <w:rPr>
            <w:rStyle w:val="Hyperlink"/>
          </w:rPr>
          <w:t xml:space="preserve">10.1016/j.dsr2.2010.02.018</w:t>
        </w:r>
      </w:hyperlink>
      <w:r>
        <w:t xml:space="preserve">.</w:t>
      </w:r>
    </w:p>
    <w:bookmarkEnd w:id="60"/>
    <w:bookmarkStart w:id="62"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1">
        <w:r>
          <w:rPr>
            <w:rStyle w:val="Hyperlink"/>
          </w:rPr>
          <w:t xml:space="preserve">10.3354/meps09985</w:t>
        </w:r>
      </w:hyperlink>
      <w:r>
        <w:t xml:space="preserve">.</w:t>
      </w:r>
    </w:p>
    <w:bookmarkEnd w:id="62"/>
    <w:bookmarkStart w:id="64"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3">
        <w:r>
          <w:rPr>
            <w:rStyle w:val="Hyperlink"/>
          </w:rPr>
          <w:t xml:space="preserve">10.1038/d41586-020-00915-7</w:t>
        </w:r>
      </w:hyperlink>
      <w:r>
        <w:t xml:space="preserve">.</w:t>
      </w:r>
    </w:p>
    <w:bookmarkEnd w:id="64"/>
    <w:bookmarkStart w:id="66"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5">
        <w:r>
          <w:rPr>
            <w:rStyle w:val="Hyperlink"/>
          </w:rPr>
          <w:t xml:space="preserve">10.1038/s41559-025-02692-w</w:t>
        </w:r>
      </w:hyperlink>
      <w:r>
        <w:t xml:space="preserve">.</w:t>
      </w:r>
    </w:p>
    <w:bookmarkEnd w:id="66"/>
    <w:bookmarkStart w:id="68" w:name="ref-echoview"/>
    <w:p>
      <w:pPr>
        <w:pStyle w:val="Bibliography"/>
      </w:pPr>
      <w:r>
        <w:t xml:space="preserve">[9]</w:t>
      </w:r>
      <w:r>
        <w:t xml:space="preserve"> </w:t>
      </w:r>
      <w:r>
        <w:t xml:space="preserve">	</w:t>
      </w:r>
      <w:r>
        <w:t xml:space="preserve">Echoview, (n.d.).</w:t>
      </w:r>
      <w:r>
        <w:t xml:space="preserve"> </w:t>
      </w:r>
      <w:hyperlink r:id="rId67">
        <w:r>
          <w:rPr>
            <w:rStyle w:val="Hyperlink"/>
          </w:rPr>
          <w:t xml:space="preserve">https://echoview.com/support/release-notes/</w:t>
        </w:r>
      </w:hyperlink>
      <w:r>
        <w:t xml:space="preserve"> </w:t>
      </w:r>
      <w:r>
        <w:t xml:space="preserve">(accessed July 31, 2026).</w:t>
      </w:r>
    </w:p>
    <w:bookmarkEnd w:id="68"/>
    <w:bookmarkStart w:id="70"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9">
        <w:r>
          <w:rPr>
            <w:rStyle w:val="Hyperlink"/>
          </w:rPr>
          <w:t xml:space="preserve">https://www.academia.edu/143858735/The_large_scale_survey_system_LSSS</w:t>
        </w:r>
      </w:hyperlink>
      <w:r>
        <w:t xml:space="preserve">.</w:t>
      </w:r>
    </w:p>
    <w:bookmarkEnd w:id="70"/>
    <w:bookmarkStart w:id="72"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1">
        <w:r>
          <w:rPr>
            <w:rStyle w:val="Hyperlink"/>
          </w:rPr>
          <w:t xml:space="preserve">10.1051/alr/2009027</w:t>
        </w:r>
      </w:hyperlink>
      <w:r>
        <w:t xml:space="preserve">.</w:t>
      </w:r>
    </w:p>
    <w:bookmarkEnd w:id="72"/>
    <w:bookmarkStart w:id="74"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3">
        <w:r>
          <w:rPr>
            <w:rStyle w:val="Hyperlink"/>
          </w:rPr>
          <w:t xml:space="preserve">10.1016/j.softx.2020.100581</w:t>
        </w:r>
      </w:hyperlink>
      <w:r>
        <w:t xml:space="preserve">.</w:t>
      </w:r>
    </w:p>
    <w:bookmarkEnd w:id="74"/>
    <w:bookmarkStart w:id="76"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5">
        <w:r>
          <w:rPr>
            <w:rStyle w:val="Hyperlink"/>
          </w:rPr>
          <w:t xml:space="preserve">10.1007/s40857-018-0135-x</w:t>
        </w:r>
      </w:hyperlink>
      <w:r>
        <w:t xml:space="preserve">.</w:t>
      </w:r>
    </w:p>
    <w:bookmarkEnd w:id="76"/>
    <w:bookmarkStart w:id="78"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7">
        <w:r>
          <w:rPr>
            <w:rStyle w:val="Hyperlink"/>
          </w:rPr>
          <w:t xml:space="preserve">10.25080/WXRH8633</w:t>
        </w:r>
      </w:hyperlink>
      <w:r>
        <w:t xml:space="preserve">.</w:t>
      </w:r>
    </w:p>
    <w:bookmarkEnd w:id="78"/>
    <w:bookmarkStart w:id="80"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9">
        <w:r>
          <w:rPr>
            <w:rStyle w:val="Hyperlink"/>
          </w:rPr>
          <w:t xml:space="preserve">10.1093/icesjms/fsae133</w:t>
        </w:r>
      </w:hyperlink>
      <w:r>
        <w:t xml:space="preserve">.</w:t>
      </w:r>
    </w:p>
    <w:bookmarkEnd w:id="80"/>
    <w:bookmarkStart w:id="82" w:name="ref-kentaro"/>
    <w:p>
      <w:pPr>
        <w:pStyle w:val="Bibliography"/>
      </w:pPr>
      <w:r>
        <w:t xml:space="preserve">[16]</w:t>
      </w:r>
      <w:r>
        <w:t xml:space="preserve"> </w:t>
      </w:r>
      <w:r>
        <w:t xml:space="preserve">	</w:t>
      </w:r>
      <w:r>
        <w:t xml:space="preserve">K. Wada, Labelme: Image polygonal annotation with python, (n.d.). https://doi.org/</w:t>
      </w:r>
      <w:hyperlink r:id="rId81">
        <w:r>
          <w:rPr>
            <w:rStyle w:val="Hyperlink"/>
          </w:rPr>
          <w:t xml:space="preserve">10.5281/zenodo.5711226</w:t>
        </w:r>
      </w:hyperlink>
      <w:r>
        <w:t xml:space="preserve">.</w:t>
      </w:r>
    </w:p>
    <w:bookmarkEnd w:id="82"/>
    <w:bookmarkStart w:id="84" w:name="ref-kentaro2"/>
    <w:p>
      <w:pPr>
        <w:pStyle w:val="Bibliography"/>
      </w:pPr>
      <w:r>
        <w:t xml:space="preserve">[17]</w:t>
      </w:r>
      <w:r>
        <w:t xml:space="preserve"> </w:t>
      </w:r>
      <w:r>
        <w:t xml:space="preserve">	</w:t>
      </w:r>
      <w:r>
        <w:t xml:space="preserve">K. Wada, Labelme: Image polygonal annotation with python. Version 6.0.0, (2026).</w:t>
      </w:r>
      <w:r>
        <w:t xml:space="preserve"> </w:t>
      </w:r>
      <w:hyperlink r:id="rId83">
        <w:r>
          <w:rPr>
            <w:rStyle w:val="Hyperlink"/>
          </w:rPr>
          <w:t xml:space="preserve">https://github.com/wkentaro/labelme/releases?page=3#release-v6.0.0</w:t>
        </w:r>
      </w:hyperlink>
      <w:r>
        <w:t xml:space="preserve">.</w:t>
      </w:r>
    </w:p>
    <w:bookmarkEnd w:id="84"/>
    <w:bookmarkStart w:id="86" w:name="ref-maclennan2002"/>
    <w:p>
      <w:pPr>
        <w:pStyle w:val="Bibliography"/>
      </w:pPr>
      <w:r>
        <w:t xml:space="preserve">[18]</w:t>
      </w:r>
      <w:r>
        <w:t xml:space="preserve"> </w:t>
      </w:r>
      <w:r>
        <w:t xml:space="preserve">	</w:t>
      </w:r>
      <w:r>
        <w:t xml:space="preserve">D.N. Maclennan, P.G. Fernandes, J. Dalen, A consistent approach to definitions and symbols in fisheries acoustics, ICES Journal of Marine Science 59 (2002) 365–369. https://doi.org/</w:t>
      </w:r>
      <w:hyperlink r:id="rId85">
        <w:r>
          <w:rPr>
            <w:rStyle w:val="Hyperlink"/>
          </w:rPr>
          <w:t xml:space="preserve">10.1006/jmsc.2001.1158</w:t>
        </w:r>
      </w:hyperlink>
      <w:r>
        <w:t xml:space="preserve">.</w:t>
      </w:r>
    </w:p>
    <w:bookmarkEnd w:id="86"/>
    <w:bookmarkStart w:id="87" w:name="ref-kunnath2018"/>
    <w:p>
      <w:pPr>
        <w:pStyle w:val="Bibliography"/>
      </w:pPr>
      <w:r>
        <w:t xml:space="preserve">[19]</w:t>
      </w:r>
      <w:r>
        <w:t xml:space="preserve"> </w:t>
      </w:r>
      <w:r>
        <w:t xml:space="preserve">	</w:t>
      </w:r>
      <w:r>
        <w:t xml:space="preserve">H. Kunnath, R. Kloser, T. Ryan, IMOS SOOP-BA netCDF conventions. Version 2.2, Commonwealth Scientific; Industrial Research Organisation, Hobart, TAS, 2018.</w:t>
      </w:r>
    </w:p>
    <w:bookmarkEnd w:id="87"/>
    <w:bookmarkStart w:id="89" w:name="ref-ariza2022"/>
    <w:p>
      <w:pPr>
        <w:pStyle w:val="Bibliography"/>
      </w:pPr>
      <w:r>
        <w:t xml:space="preserve">[20]</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8">
        <w:r>
          <w:rPr>
            <w:rStyle w:val="Hyperlink"/>
          </w:rPr>
          <w:t xml:space="preserve">10.1111/jbi.14534</w:t>
        </w:r>
      </w:hyperlink>
      <w:r>
        <w:t xml:space="preserve">.</w:t>
      </w:r>
    </w:p>
    <w:bookmarkEnd w:id="89"/>
    <w:bookmarkStart w:id="91" w:name="ref-annasawmy2019"/>
    <w:p>
      <w:pPr>
        <w:pStyle w:val="Bibliography"/>
      </w:pPr>
      <w:r>
        <w:t xml:space="preserve">[21]</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90">
        <w:r>
          <w:rPr>
            <w:rStyle w:val="Hyperlink"/>
          </w:rPr>
          <w:t xml:space="preserve">10.1016/j.pocean.2019.102161</w:t>
        </w:r>
      </w:hyperlink>
      <w:r>
        <w:t xml:space="preserve">.</w:t>
      </w:r>
    </w:p>
    <w:bookmarkEnd w:id="91"/>
    <w:bookmarkStart w:id="93" w:name="ref-abracos2cruise"/>
    <w:p>
      <w:pPr>
        <w:pStyle w:val="Bibliography"/>
      </w:pPr>
      <w:r>
        <w:t xml:space="preserve">[22]</w:t>
      </w:r>
      <w:r>
        <w:t xml:space="preserve"> </w:t>
      </w:r>
      <w:r>
        <w:t xml:space="preserve">	</w:t>
      </w:r>
      <w:r>
        <w:t xml:space="preserve">A. Bertrand, ABRACOS 2 cruise, RV antea, (2017). https://doi.org/</w:t>
      </w:r>
      <w:hyperlink r:id="rId92">
        <w:r>
          <w:rPr>
            <w:rStyle w:val="Hyperlink"/>
          </w:rPr>
          <w:t xml:space="preserve">10.17600/17004100</w:t>
        </w:r>
      </w:hyperlink>
      <w:r>
        <w:t xml:space="preserve">.</w:t>
      </w:r>
    </w:p>
    <w:bookmarkEnd w:id="93"/>
    <w:bookmarkStart w:id="95" w:name="ref-bertrand2026"/>
    <w:p>
      <w:pPr>
        <w:pStyle w:val="Bibliography"/>
      </w:pPr>
      <w:r>
        <w:t xml:space="preserve">[23]</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4">
        <w:r>
          <w:rPr>
            <w:rStyle w:val="Hyperlink"/>
          </w:rPr>
          <w:t xml:space="preserve">10.5194/essd-2026-512</w:t>
        </w:r>
      </w:hyperlink>
      <w:r>
        <w:t xml:space="preserve">.</w:t>
      </w:r>
    </w:p>
    <w:bookmarkEnd w:id="95"/>
    <w:bookmarkStart w:id="97" w:name="ref-demer2015"/>
    <w:p>
      <w:pPr>
        <w:pStyle w:val="Bibliography"/>
      </w:pPr>
      <w:r>
        <w:t xml:space="preserve">[24]</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6">
        <w:r>
          <w:rPr>
            <w:rStyle w:val="Hyperlink"/>
          </w:rPr>
          <w:t xml:space="preserve">https://repository.oceanbestpractices.org/handle/11329/626</w:t>
        </w:r>
      </w:hyperlink>
      <w:r>
        <w:t xml:space="preserve">.</w:t>
      </w:r>
    </w:p>
    <w:bookmarkEnd w:id="97"/>
    <w:bookmarkStart w:id="99" w:name="ref-brierley2014"/>
    <w:p>
      <w:pPr>
        <w:pStyle w:val="Bibliography"/>
      </w:pPr>
      <w:r>
        <w:t xml:space="preserve">[25]</w:t>
      </w:r>
      <w:r>
        <w:t xml:space="preserve"> </w:t>
      </w:r>
      <w:r>
        <w:t xml:space="preserve">	</w:t>
      </w:r>
      <w:r>
        <w:t xml:space="preserve">A.S. Brierley, Diel vertical migration, Current Biology 24 (2014) R1074–R1076. https://doi.org/</w:t>
      </w:r>
      <w:hyperlink r:id="rId98">
        <w:r>
          <w:rPr>
            <w:rStyle w:val="Hyperlink"/>
          </w:rPr>
          <w:t xml:space="preserve">10.1016/j.cub.2014.08.054</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33" Target="media/rId33.svg" /><Relationship Type="http://schemas.openxmlformats.org/officeDocument/2006/relationships/image" Id="rId22" Target="media/rId22.png" /><Relationship Type="http://schemas.openxmlformats.org/officeDocument/2006/relationships/hyperlink" Id="rId37" Target="" TargetMode="External" /><Relationship Type="http://schemas.openxmlformats.org/officeDocument/2006/relationships/hyperlink" Id="rId85" Target="https://doi.org/10.1006/jmsc.2001.1158" TargetMode="External" /><Relationship Type="http://schemas.openxmlformats.org/officeDocument/2006/relationships/hyperlink" Id="rId75" Target="https://doi.org/10.1007/s40857-018-0135-x" TargetMode="External" /><Relationship Type="http://schemas.openxmlformats.org/officeDocument/2006/relationships/hyperlink" Id="rId98" Target="https://doi.org/10.1016/j.cub.2014.08.054" TargetMode="External" /><Relationship Type="http://schemas.openxmlformats.org/officeDocument/2006/relationships/hyperlink" Id="rId59" Target="https://doi.org/10.1016/j.dsr2.2010.02.018" TargetMode="External" /><Relationship Type="http://schemas.openxmlformats.org/officeDocument/2006/relationships/hyperlink" Id="rId90" Target="https://doi.org/10.1016/j.pocean.2019.102161" TargetMode="External" /><Relationship Type="http://schemas.openxmlformats.org/officeDocument/2006/relationships/hyperlink" Id="rId73" Target="https://doi.org/10.1016/j.softx.2020.100581" TargetMode="External" /><Relationship Type="http://schemas.openxmlformats.org/officeDocument/2006/relationships/hyperlink" Id="rId63" Target="https://doi.org/10.1038/d41586-020-00915-7" TargetMode="External" /><Relationship Type="http://schemas.openxmlformats.org/officeDocument/2006/relationships/hyperlink" Id="rId53" Target="https://doi.org/10.1038/ncomms4271" TargetMode="External" /><Relationship Type="http://schemas.openxmlformats.org/officeDocument/2006/relationships/hyperlink" Id="rId65" Target="https://doi.org/10.1038/s41559-025-02692-w" TargetMode="External" /><Relationship Type="http://schemas.openxmlformats.org/officeDocument/2006/relationships/hyperlink" Id="rId71" Target="https://doi.org/10.1051/alr/2009027" TargetMode="External" /><Relationship Type="http://schemas.openxmlformats.org/officeDocument/2006/relationships/hyperlink" Id="rId79" Target="https://doi.org/10.1093/icesjms/fsae133" TargetMode="External" /><Relationship Type="http://schemas.openxmlformats.org/officeDocument/2006/relationships/hyperlink" Id="rId55" Target="https://doi.org/10.1111/ele.14510" TargetMode="External" /><Relationship Type="http://schemas.openxmlformats.org/officeDocument/2006/relationships/hyperlink" Id="rId88" Target="https://doi.org/10.1111/jbi.14534" TargetMode="External" /><Relationship Type="http://schemas.openxmlformats.org/officeDocument/2006/relationships/hyperlink" Id="rId57" Target="https://doi.org/10.1146/annurev-marine-031623-095435" TargetMode="External" /><Relationship Type="http://schemas.openxmlformats.org/officeDocument/2006/relationships/hyperlink" Id="rId51" Target="https://doi.org/10.1146/annurev-marine-122414-034001" TargetMode="External" /><Relationship Type="http://schemas.openxmlformats.org/officeDocument/2006/relationships/hyperlink" Id="rId92" Target="https://doi.org/10.17600/17004100" TargetMode="External" /><Relationship Type="http://schemas.openxmlformats.org/officeDocument/2006/relationships/hyperlink" Id="rId77" Target="https://doi.org/10.25080/WXRH8633" TargetMode="External" /><Relationship Type="http://schemas.openxmlformats.org/officeDocument/2006/relationships/hyperlink" Id="rId61" Target="https://doi.org/10.3354/meps09985" TargetMode="External" /><Relationship Type="http://schemas.openxmlformats.org/officeDocument/2006/relationships/hyperlink" Id="rId94" Target="https://doi.org/10.5194/essd-2026-512" TargetMode="External" /><Relationship Type="http://schemas.openxmlformats.org/officeDocument/2006/relationships/hyperlink" Id="rId81"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7"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4" Target="https://github.com/gaspardringuenet/echolabel-manuscript" TargetMode="External" /><Relationship Type="http://schemas.openxmlformats.org/officeDocument/2006/relationships/hyperlink" Id="rId83" Target="https://github.com/wkentaro/labelme/releases?page=3#release-v6.0.0" TargetMode="External" /><Relationship Type="http://schemas.openxmlformats.org/officeDocument/2006/relationships/hyperlink" Id="rId40"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1"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6" Target="https://repository.oceanbestpractices.org/handle/11329/626" TargetMode="External" /><Relationship Type="http://schemas.openxmlformats.org/officeDocument/2006/relationships/hyperlink" Id="rId69" Target="https://www.academia.edu/143858735/The_large_scale_survey_system_LSSS" TargetMode="External" /><Relationship Type="http://schemas.openxmlformats.org/officeDocument/2006/relationships/hyperlink" Id="rId49"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85" Target="https://doi.org/10.1006/jmsc.2001.1158" TargetMode="External" /><Relationship Type="http://schemas.openxmlformats.org/officeDocument/2006/relationships/hyperlink" Id="rId75" Target="https://doi.org/10.1007/s40857-018-0135-x" TargetMode="External" /><Relationship Type="http://schemas.openxmlformats.org/officeDocument/2006/relationships/hyperlink" Id="rId98" Target="https://doi.org/10.1016/j.cub.2014.08.054" TargetMode="External" /><Relationship Type="http://schemas.openxmlformats.org/officeDocument/2006/relationships/hyperlink" Id="rId59" Target="https://doi.org/10.1016/j.dsr2.2010.02.018" TargetMode="External" /><Relationship Type="http://schemas.openxmlformats.org/officeDocument/2006/relationships/hyperlink" Id="rId90" Target="https://doi.org/10.1016/j.pocean.2019.102161" TargetMode="External" /><Relationship Type="http://schemas.openxmlformats.org/officeDocument/2006/relationships/hyperlink" Id="rId73" Target="https://doi.org/10.1016/j.softx.2020.100581" TargetMode="External" /><Relationship Type="http://schemas.openxmlformats.org/officeDocument/2006/relationships/hyperlink" Id="rId63" Target="https://doi.org/10.1038/d41586-020-00915-7" TargetMode="External" /><Relationship Type="http://schemas.openxmlformats.org/officeDocument/2006/relationships/hyperlink" Id="rId53" Target="https://doi.org/10.1038/ncomms4271" TargetMode="External" /><Relationship Type="http://schemas.openxmlformats.org/officeDocument/2006/relationships/hyperlink" Id="rId65" Target="https://doi.org/10.1038/s41559-025-02692-w" TargetMode="External" /><Relationship Type="http://schemas.openxmlformats.org/officeDocument/2006/relationships/hyperlink" Id="rId71" Target="https://doi.org/10.1051/alr/2009027" TargetMode="External" /><Relationship Type="http://schemas.openxmlformats.org/officeDocument/2006/relationships/hyperlink" Id="rId79" Target="https://doi.org/10.1093/icesjms/fsae133" TargetMode="External" /><Relationship Type="http://schemas.openxmlformats.org/officeDocument/2006/relationships/hyperlink" Id="rId55" Target="https://doi.org/10.1111/ele.14510" TargetMode="External" /><Relationship Type="http://schemas.openxmlformats.org/officeDocument/2006/relationships/hyperlink" Id="rId88" Target="https://doi.org/10.1111/jbi.14534" TargetMode="External" /><Relationship Type="http://schemas.openxmlformats.org/officeDocument/2006/relationships/hyperlink" Id="rId57" Target="https://doi.org/10.1146/annurev-marine-031623-095435" TargetMode="External" /><Relationship Type="http://schemas.openxmlformats.org/officeDocument/2006/relationships/hyperlink" Id="rId51" Target="https://doi.org/10.1146/annurev-marine-122414-034001" TargetMode="External" /><Relationship Type="http://schemas.openxmlformats.org/officeDocument/2006/relationships/hyperlink" Id="rId92" Target="https://doi.org/10.17600/17004100" TargetMode="External" /><Relationship Type="http://schemas.openxmlformats.org/officeDocument/2006/relationships/hyperlink" Id="rId77" Target="https://doi.org/10.25080/WXRH8633" TargetMode="External" /><Relationship Type="http://schemas.openxmlformats.org/officeDocument/2006/relationships/hyperlink" Id="rId61" Target="https://doi.org/10.3354/meps09985" TargetMode="External" /><Relationship Type="http://schemas.openxmlformats.org/officeDocument/2006/relationships/hyperlink" Id="rId94" Target="https://doi.org/10.5194/essd-2026-512" TargetMode="External" /><Relationship Type="http://schemas.openxmlformats.org/officeDocument/2006/relationships/hyperlink" Id="rId81"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7"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4" Target="https://github.com/gaspardringuenet/echolabel-manuscript" TargetMode="External" /><Relationship Type="http://schemas.openxmlformats.org/officeDocument/2006/relationships/hyperlink" Id="rId83" Target="https://github.com/wkentaro/labelme/releases?page=3#release-v6.0.0" TargetMode="External" /><Relationship Type="http://schemas.openxmlformats.org/officeDocument/2006/relationships/hyperlink" Id="rId40"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1"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6" Target="https://repository.oceanbestpractices.org/handle/11329/626" TargetMode="External" /><Relationship Type="http://schemas.openxmlformats.org/officeDocument/2006/relationships/hyperlink" Id="rId69" Target="https://www.academia.edu/143858735/The_large_scale_survey_system_LSSS" TargetMode="External" /><Relationship Type="http://schemas.openxmlformats.org/officeDocument/2006/relationships/hyperlink" Id="rId49"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aquatic ecology</dc:title>
  <dc:creator>Gaspard Ringuenet; Alejandro Ariza; Gildas Roudaut; William Puech; Arnaud Bertrand</dc:creator>
  <cp:keywords>Active acoustics, Multifrequency, Echogram annotation, Aquatic ecology, Open source</cp:keywords>
  <dcterms:created xsi:type="dcterms:W3CDTF">2026-10-27T16:50:06Z</dcterms:created>
  <dcterms:modified xsi:type="dcterms:W3CDTF">2026-10-27T16:50:06Z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2026-10-27</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