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marine ecology</w:t>
      </w:r>
    </w:p>
    <w:p>
      <w:pPr>
        <w:pStyle w:val="Author"/>
      </w:pPr>
      <w:r>
        <w:t xml:space="preserve">Gaspard Ringuenet</w:t>
      </w:r>
    </w:p>
    <w:p>
      <w:pPr>
        <w:pStyle w:val="Author"/>
      </w:pPr>
      <w:r>
        <w:t xml:space="preserve">Gildas Roudaut</w:t>
      </w:r>
    </w:p>
    <w:p>
      <w:pPr>
        <w:pStyle w:val="Author"/>
      </w:pPr>
      <w:r>
        <w:t xml:space="preserve">Alejandro Ariza</w:t>
      </w:r>
    </w:p>
    <w:p>
      <w:pPr>
        <w:pStyle w:val="Author"/>
      </w:pPr>
      <w:r>
        <w:t xml:space="preserve">Arnaud Bertrand</w:t>
      </w:r>
    </w:p>
    <w:p>
      <w:pPr>
        <w:pStyle w:val="Date"/>
      </w:pPr>
      <w:r>
        <w:t xml:space="preserve">2026-10-13</w:t>
      </w:r>
    </w:p>
    <w:p>
      <w:pPr>
        <w:pStyle w:val="AbstractTitle"/>
      </w:pPr>
      <w:r>
        <w:t xml:space="preserve">Abstract</w:t>
      </w:r>
    </w:p>
    <w:p>
      <w:pPr>
        <w:pStyle w:val="Abstract"/>
      </w:pPr>
      <w:r>
        <w:t xml:space="preserve">Active acoustic systems are essential for studying aquatic ecosystems, delivering high-resolution information over large spatial scales. Yet processing these data still relies heavily on manual annotation, and no open-source annotation tool currently integrates with Echostack, the emerging Python toolkit for echosounder data. We present Echolabel, an open-source, cross-platform tool for fast echogram visualization and annotation, which produces CSV outputs directly compatible with Echoregions, the Echostack package for handling annotation. Echolabel is deliberately minimal and task-specific, and is not intended to replace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Aquatic ecosystems, from lakes and rivers to coastal waters and the open ocean, are largely hidden from direct observation. Many of their organisms live in the water column, which direct sampling with nets or traps covers only sparsely, at high cost and often invasively. In this context, active acoustic systems (sonars) provide crucial information: by sounding the water column at high resolution, they are the only technology capable of providing continuous observations of organism distribution and behavior at the spatial and temporal scales at which physical and ecological processes occur</w:t>
      </w:r>
      <w:r>
        <w:t xml:space="preserve"> </w:t>
      </w:r>
      <w:r>
        <w:t xml:space="preserve">[1]</w:t>
      </w:r>
      <w:r>
        <w:t xml:space="preserve">.</w:t>
      </w:r>
    </w:p>
    <w:p>
      <w:pPr>
        <w:pStyle w:val="BodyText"/>
      </w:pPr>
      <w:r>
        <w:t xml:space="preserve">Although the tool presented here applies to echograms from any aquatic environment, the examples in this paper come from the pelagic ocean. 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to 1000 m. Its significance is evident from its large biomass and diversity</w:t>
      </w:r>
      <w:r>
        <w:t xml:space="preserve"> </w:t>
      </w:r>
      <w:r>
        <w:t xml:space="preserve">[2–4]</w:t>
      </w:r>
      <w:r>
        <w:t xml:space="preserve">, its crucial role in ocean functioning</w:t>
      </w:r>
      <w:r>
        <w:t xml:space="preserve"> </w:t>
      </w:r>
      <w:r>
        <w:t xml:space="preserve">[5,6]</w:t>
      </w:r>
      <w:r>
        <w:t xml:space="preserve">, and its interdependence with human societies</w:t>
      </w:r>
      <w:r>
        <w:t xml:space="preserve"> </w:t>
      </w:r>
      <w:r>
        <w:t xml:space="preserve">[7,8]</w:t>
      </w:r>
      <w:r>
        <w:t xml:space="preserve">. Despite this, the “twilight zone” remains understudied, primarily due to technical limitations in investigating deep waters. Active acoustics is particularly valuable here, as echosounders can sample the water column up to ~1000 m with high resolution.</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[9]</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w:t>
      </w:r>
      <w:r>
        <w:t xml:space="preserve"> </w:t>
      </w:r>
      <w:hyperlink r:id="rId15">
        <w:r>
          <w:rPr>
            <w:rStyle w:val="Hyperlink"/>
          </w:rPr>
          <w:t xml:space="preserve">Echoregions</w:t>
        </w:r>
      </w:hyperlink>
      <w:r>
        <w:t xml:space="preserve"> </w:t>
      </w:r>
      <w:r>
        <w:t xml:space="preserve">package,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areas most in demand by the scientific community in ecosystem acoustics.</w:t>
      </w:r>
    </w:p>
    <w:p>
      <w:pPr>
        <w:pStyle w:val="BodyText"/>
      </w:pPr>
      <w:r>
        <w:t xml:space="preserve">To bridge this gap, we propose Echolabel, a minimalist Python app for echogram annotation, built to be interoperable with Echostack / Echoregions. Its scope is narrower than that of most GUI-based acoustic software, which provide suites of analysis-ready computation tools. Echolabel focuses on the annotation task only, leveraging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 configuration, command-line inputs, cached data management, and parsing annotation files.</w:t>
      </w:r>
    </w:p>
    <w:p>
      <w:pPr>
        <w:pStyle w:val="BodyText"/>
      </w:pPr>
      <w:r>
        <w:t xml:space="preserve">It is minimalist, comprising 13 Python source files, totalling &lt; 1000 lines of code, and avoids re-implementing existing functionalities as much as possible. The annotation interface is entirely provided by LabelMe v6.0.0,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wraps LabelMe.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[17]</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convention</w:t>
      </w:r>
      <w:r>
        <w:t xml:space="preserve"> </w:t>
      </w:r>
      <w:r>
        <w:t xml:space="preserve">[18]</w:t>
      </w:r>
      <w:r>
        <w:t xml:space="preserve"> </w:t>
      </w:r>
      <w:r>
        <w:t xml:space="preserve">and the coordinate/variable names adopted by Echostack.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[19,20]</w:t>
      </w:r>
      <w:r>
        <w:t xml:space="preserve">). The background (defined as where no channel is active) colour can also be specified in the configuration (as a matplotlib-compatible string or tuple).</w:t>
      </w:r>
    </w:p>
    <w:p>
      <w:pPr>
        <w:pStyle w:val="BodyText"/>
      </w:pPr>
      <w:r>
        <w:t xml:space="preserve">Running the app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 Regions2D objects can represent polygons only. For this reason, the polygon and rectangle LabelMe tools are the only ones whose shapes can be converted (output from other tools is ignored). Once the annotation-format conversion is done, the CSV file is created or updated. It is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[21,22]</w:t>
      </w:r>
      <w:r>
        <w:t xml:space="preserve">. Two configurations were used: a ping rate of 0.45 s for seabed depth less than 150 m, and a ping rate of 2.4 seconds for deeper areas, recording to depth up to 750 m. The echosounder was calibrated mid-survey in Fernando de Noronha using standard protocols</w:t>
      </w:r>
      <w:r>
        <w:t xml:space="preserve"> </w:t>
      </w:r>
      <w:r>
        <w:t xml:space="preserve">[23]</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a ~50 m deep seamount.</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297326"/>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297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grey shape on the right of the echogram indicates pixels below the ocean floor. Similarly, horizontal colour boundaries show the channels’ range limits. Regions of interest are defined as rectangles visible on top of the echogram. Labels are associated with the rectangle shapes (visible in the “Annotation List” panel, and as a non-duplicated list in the “Label List” panel).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Echoregions package. Hence, the following sections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[1]</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strong) and two greenish (70 kHz) regions, in different oceanographic setups (pelagic or on seamount edge), depths (150 m or 50 m) and intensity (seemingly stronger near the seamount)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w:t>
      </w:r>
      <w:r>
        <w:t xml:space="preserve">; see</w:t>
      </w:r>
      <w:r>
        <w:t xml:space="preserve"> </w:t>
      </w:r>
      <w:r>
        <w:t xml:space="preserve">[17]</w:t>
      </w:r>
      <w:r>
        <w:t xml:space="preserve"> </w:t>
      </w:r>
      <w:r>
        <w:t xml:space="preserve">for notation) for all regions. Green regions contain similar R(f).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In spite of a thorough cleaning of acoustic data, some unwanted signal or noise may remain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42553"/>
                  <wp:effectExtent b="0" l="0" r="0" t="0"/>
                  <wp:docPr descr="" title="" id="29" name="Picture"/>
                  <a:graphic>
                    <a:graphicData uri="http://schemas.openxmlformats.org/drawingml/2006/picture">
                      <pic:pic>
                        <pic:nvPicPr>
                          <pic:cNvPr descr="images/basic-annotation-tasks-wlayer-e.png" id="30" name="Picture"/>
                          <pic:cNvPicPr>
                            <a:picLocks noChangeArrowheads="1" noChangeAspect="1"/>
                          </pic:cNvPicPr>
                        </pic:nvPicPr>
                        <pic:blipFill>
                          <a:blip r:embed="rId28"/>
                          <a:stretch>
                            <a:fillRect/>
                          </a:stretch>
                        </pic:blipFill>
                        <pic:spPr bwMode="auto">
                          <a:xfrm>
                            <a:off x="0" y="0"/>
                            <a:ext cx="5334000" cy="61425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whith the dashed line representing the</w:t>
            </w:r>
            <w:r>
              <w:t xml:space="preserve"> </w:t>
            </w:r>
            <w:r>
              <w:t xml:space="preserve">“Layer”</w:t>
            </w:r>
            <w:r>
              <w:t xml:space="preserve"> </w:t>
            </w:r>
            <w:r>
              <w:t xml:space="preserve">polygon.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714092"/>
                  <wp:effectExtent b="0" l="0" r="0" t="0"/>
                  <wp:docPr descr="" title="" id="34" name="Picture"/>
                  <a:graphic>
                    <a:graphicData uri="http://schemas.openxmlformats.org/drawingml/2006/picture">
                      <pic:pic>
                        <pic:nvPicPr>
                          <pic:cNvPr descr="images/fuzzy-layer-analysis_2-e.png" id="35" name="Picture"/>
                          <pic:cNvPicPr>
                            <a:picLocks noChangeArrowheads="1" noChangeAspect="1"/>
                          </pic:cNvPicPr>
                        </pic:nvPicPr>
                        <pic:blipFill>
                          <a:blip r:embed="rId33"/>
                          <a:stretch>
                            <a:fillRect/>
                          </a:stretch>
                        </pic:blipFill>
                        <pic:spPr bwMode="auto">
                          <a:xfrm>
                            <a:off x="0" y="0"/>
                            <a:ext cx="5334000" cy="1714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 “Layer” polygon in</w:t>
            </w:r>
            <w:r>
              <w:t xml:space="preserve"> </w:t>
            </w:r>
            <w:hyperlink w:anchor="fig-demo-gui">
              <w:r>
                <w:rPr>
                  <w:rStyle w:val="Hyperlink"/>
                </w:rPr>
                <w:t xml:space="preserve">Figure 1</w:t>
              </w:r>
            </w:hyperlink>
            <w:r>
              <w:t xml:space="preserve">). (a) Time series of the depth of the layer’s center of gravity (NASC-weighted mean depth), smoothed with a 50-timestamp rolling mean. The colour indicates the sign and magnitude of the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 against downward vertical speed. The red line shows the linear regression fit, and the fitted equation is given in the top left corner. Grey lines indicate the means of both variables.</w:t>
            </w:r>
          </w:p>
          <w:bookmarkEnd w:id="36"/>
        </w:tc>
      </w:tr>
    </w:tbl>
    <w:p>
      <w:pPr>
        <w:pStyle w:val="BodyText"/>
      </w:pPr>
      <w:r>
        <w:t xml:space="preserve">A wide variety of data analyses can be conducted using masked echograms. We briefly demonstrate how Echolabel, together with Echoregions, can be used to test a simple hypothesis. A close inspection of the data within the “Layer” polygon on the RGB echogram shows an interesting pattern. The layer varies both in depth, with finer-scale variations superimposed on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we compare</w:t>
      </w:r>
      <w:r>
        <w:t xml:space="preserve"> </w:t>
      </w:r>
      <m:oMath>
        <m:r>
          <m:rPr>
            <m:sty m:val="p"/>
          </m:rPr>
          <m:t>Δ</m:t>
        </m:r>
        <m:sSub>
          <m:e>
            <m:r>
              <m:rPr>
                <m:nor/>
                <m:sty m:val="p"/>
              </m:rPr>
              <m:t>MVBS</m:t>
            </m:r>
          </m:e>
          <m:sub>
            <m:r>
              <m:t>70</m:t>
            </m:r>
            <m:r>
              <m:rPr>
                <m:sty m:val="p"/>
              </m:rPr>
              <m:t>−</m:t>
            </m:r>
            <m:r>
              <m:t>38</m:t>
            </m:r>
            <m:r>
              <m:rPr>
                <m:nor/>
                <m:sty m:val="p"/>
              </m:rPr>
              <m:t>kHz</m:t>
            </m:r>
          </m:sub>
        </m:sSub>
      </m:oMath>
      <w:r>
        <w:t xml:space="preserve">, to the vertical speed of the layer (positive downward), assuming vertical speed is tightly linked to the average tilt angle of the fish.</w:t>
      </w:r>
    </w:p>
    <w:p>
      <w:pPr>
        <w:pStyle w:val="BodyText"/>
      </w:pPr>
      <w:r>
        <w:t xml:space="preserve">The layer is delineated manually using Echolabel, as shown in</w:t>
      </w:r>
      <w:r>
        <w:t xml:space="preserve"> </w:t>
      </w:r>
      <w:hyperlink w:anchor="fig-demo-gui">
        <w:r>
          <w:rPr>
            <w:rStyle w:val="Hyperlink"/>
          </w:rPr>
          <w:t xml:space="preserve">Figure 1</w:t>
        </w:r>
      </w:hyperlink>
      <w:r>
        <w:t xml:space="preserve">, and the corresponding mask is generated with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[17]</w:t>
      </w:r>
      <w:r>
        <w:t xml:space="preserve">). The computed line is smoothed using a rolling mean spanning 50 timestamps. From this vector, the layer’s downward migration speed is obtained by differentiation with respect to time. The depth-averaged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supports the visual impression given by the RGB echogram. Marked upward-swimming events correspond to a higher response at 38 kHz than at 70 kHz. Indeed, those events are the only occurrences of extreme (-4 to -2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consistent with the scatter plot in</w:t>
      </w:r>
      <w:r>
        <w:t xml:space="preserve"> </w:t>
      </w:r>
      <w:hyperlink w:anchor="fig-layer-analysis">
        <w:r>
          <w:rPr>
            <w:rStyle w:val="Hyperlink"/>
          </w:rPr>
          <w:t xml:space="preserve">Figure 3</w:t>
        </w:r>
      </w:hyperlink>
      <w:r>
        <w:t xml:space="preserve"> </w:t>
      </w:r>
      <w:r>
        <w:t xml:space="preserve">b, that most data fall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show extreme values of both variables, with concordant signs (both negative or both positive).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t>
      </w:r>
      <m:oMath>
        <m:r>
          <m:t>p</m:t>
        </m:r>
        <m:r>
          <m:rPr>
            <m:sty m:val="p"/>
          </m:rPr>
          <m:t>&lt;</m:t>
        </m:r>
        <m:sSup>
          <m:e>
            <m:r>
              <m:t>10</m:t>
            </m:r>
          </m:e>
          <m:sup>
            <m:r>
              <m:rPr>
                <m:sty m:val="p"/>
              </m:rPr>
              <m:t>−</m:t>
            </m:r>
            <m:r>
              <m:t>3</m:t>
            </m:r>
          </m:sup>
        </m:sSup>
      </m:oMath>
      <w:r>
        <w:t xml:space="preserve">), with satisfactory residual distributions.</w:t>
      </w:r>
    </w:p>
    <w:p>
      <w:pPr>
        <w:pStyle w:val="BodyText"/>
      </w:pPr>
      <w:r>
        <w:t xml:space="preserve">This exploratory analysis visually identifies a correlation between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This result is consistent with the tilt-angle hypothesis, i.e., variations in frequency response are here associated with the movements of the fish rather than with changes in species composition, although the latter cannot be ruled out. In addition, the stronger effect during swift upward-swimming events (visible in</w:t>
      </w:r>
      <w:r>
        <w:t xml:space="preserve"> </w:t>
      </w:r>
      <w:hyperlink w:anchor="fig-layer-analysis">
        <w:r>
          <w:rPr>
            <w:rStyle w:val="Hyperlink"/>
          </w:rPr>
          <w:t xml:space="preserve">Figure 3</w:t>
        </w:r>
      </w:hyperlink>
      <w:r>
        <w:t xml:space="preserve"> </w:t>
      </w:r>
      <w:r>
        <w:t xml:space="preserve">a, and in the poorer model fit for small values in</w:t>
      </w:r>
      <w:r>
        <w:t xml:space="preserve"> </w:t>
      </w:r>
      <w:hyperlink w:anchor="fig-layer-analysis">
        <w:r>
          <w:rPr>
            <w:rStyle w:val="Hyperlink"/>
          </w:rPr>
          <w:t xml:space="preserve">Figure 3</w:t>
        </w:r>
      </w:hyperlink>
      <w:r>
        <w:t xml:space="preserve"> </w:t>
      </w:r>
      <w:r>
        <w:t xml:space="preserve">b) could indicate that these events are more coordinated than downward migrations events, with more animals aligned and swimming in the same direction. We also observe that the organisms eventually return to a depth consistent with a first-order u-shaped diel vertical migration.</w:t>
      </w:r>
    </w:p>
    <w:p>
      <w:pPr>
        <w:pStyle w:val="BodyText"/>
      </w:pPr>
      <w:r>
        <w:t xml:space="preserve">Light level is the main driver of diel vertical migration, with organisms seeking refuge in deeper waters during the day to avoid visual predators</w:t>
      </w:r>
      <w:r>
        <w:t xml:space="preserve"> </w:t>
      </w:r>
      <w:r>
        <w:t xml:space="preserve">[24]</w:t>
      </w:r>
      <w:r>
        <w:t xml:space="preserve">. Yet, during some observed upward-swimming events, the layer raised more than 50 m above its nominal depth (</w:t>
      </w:r>
      <w:hyperlink w:anchor="fig-layer-analysis">
        <w:r>
          <w:rPr>
            <w:rStyle w:val="Hyperlink"/>
          </w:rPr>
          <w:t xml:space="preserve">Figure 3</w:t>
        </w:r>
      </w:hyperlink>
      <w:r>
        <w:t xml:space="preserve"> </w:t>
      </w:r>
      <w:r>
        <w:t xml:space="preserve">a). The sudden and coordinated nature of these events could suggest that the layer is reacting to a threat or avoiding a physical barrier. Another explanation could be weather events changing skylight intensity, as animals may also avoid darkening waters. Further analysis and evidence are required to address these questions properly. This analysis nonetheless illustrates the potential of manual acoustic data annotation, and so of Echolabel, to address questions in pelagic behavioural ecology.</w:t>
      </w:r>
    </w:p>
    <w:bookmarkEnd w:id="37"/>
    <w:bookmarkEnd w:id="38"/>
    <w:bookmarkStart w:id="41" w:name="impact"/>
    <w:p>
      <w:pPr>
        <w:pStyle w:val="Heading2"/>
      </w:pPr>
      <w:r>
        <w:t xml:space="preserve">4 Impact</w:t>
      </w:r>
    </w:p>
    <w:p>
      <w:pPr>
        <w:pStyle w:val="FirstParagraph"/>
      </w:pPr>
      <w:r>
        <w:t xml:space="preserve">Echolabel bridges a gap for aquatic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it is not designed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demonstrate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active acoustics community may eventually provide more comprehensive alternatives, but Echolabel currently offers a lightweight, cross-platform, and Echoregions-compatible solution for this specific use case.</w:t>
      </w:r>
    </w:p>
    <w:bookmarkEnd w:id="42"/>
    <w:bookmarkStart w:id="44"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3">
        <w:r>
          <w:rPr>
            <w:rStyle w:val="Hyperlink"/>
          </w:rPr>
          <w:t xml:space="preserve">https://github.com/gaspardringuenet/echolabel-manuscript</w:t>
        </w:r>
      </w:hyperlink>
      <w:r>
        <w:t xml:space="preserve">).</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 and for clarity improvement in the abstract section.</w:t>
      </w:r>
    </w:p>
    <w:bookmarkEnd w:id="46"/>
    <w:bookmarkStart w:id="47"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7"/>
    <w:bookmarkStart w:id="49"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8">
        <w:r>
          <w:rPr>
            <w:rStyle w:val="Hyperlink"/>
          </w:rPr>
          <w:t xml:space="preserve">www.tapioca.ird.fr</w:t>
        </w:r>
      </w:hyperlink>
      <w:r>
        <w:t xml:space="preserve">).</w:t>
      </w:r>
    </w:p>
    <w:bookmarkEnd w:id="49"/>
    <w:bookmarkStart w:id="98" w:name="references"/>
    <w:p>
      <w:pPr>
        <w:pStyle w:val="Heading2"/>
      </w:pPr>
      <w:r>
        <w:t xml:space="preserve">References</w:t>
      </w:r>
    </w:p>
    <w:bookmarkStart w:id="97" w:name="refs"/>
    <w:bookmarkStart w:id="51" w:name="ref-benoit-bird2016"/>
    <w:p>
      <w:pPr>
        <w:pStyle w:val="Bibliography"/>
      </w:pPr>
      <w:r>
        <w:t xml:space="preserve">[1]</w:t>
      </w:r>
      <w:r>
        <w:t xml:space="preserve"> </w:t>
      </w:r>
      <w:r>
        <w:t xml:space="preserve">	</w:t>
      </w:r>
      <w:r>
        <w:t xml:space="preserve">K.J. Benoit-Bird, G.L. Lawson, Ecological insights from pelagic habitats acquired using active acoustic techniques, Annual Review of Marine Science 8 (2016) 463–490. https://doi.org/</w:t>
      </w:r>
      <w:hyperlink r:id="rId50">
        <w:r>
          <w:rPr>
            <w:rStyle w:val="Hyperlink"/>
          </w:rPr>
          <w:t xml:space="preserve">10.1146/annurev-marine-122414-034001</w:t>
        </w:r>
      </w:hyperlink>
      <w:r>
        <w:t xml:space="preserve">.</w:t>
      </w:r>
    </w:p>
    <w:bookmarkEnd w:id="51"/>
    <w:bookmarkStart w:id="53" w:name="ref-irigoien2014"/>
    <w:p>
      <w:pPr>
        <w:pStyle w:val="Bibliography"/>
      </w:pPr>
      <w:r>
        <w:t xml:space="preserve">[2]</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2">
        <w:r>
          <w:rPr>
            <w:rStyle w:val="Hyperlink"/>
          </w:rPr>
          <w:t xml:space="preserve">10.1038/ncomms4271</w:t>
        </w:r>
      </w:hyperlink>
      <w:r>
        <w:t xml:space="preserve">.</w:t>
      </w:r>
    </w:p>
    <w:bookmarkEnd w:id="53"/>
    <w:bookmarkStart w:id="55" w:name="ref-eduardo2024"/>
    <w:p>
      <w:pPr>
        <w:pStyle w:val="Bibliography"/>
      </w:pPr>
      <w:r>
        <w:t xml:space="preserve">[3]</w:t>
      </w:r>
      <w:r>
        <w:t xml:space="preserve"> </w:t>
      </w:r>
      <w:r>
        <w:t xml:space="preserve">	</w:t>
      </w:r>
      <w:r>
        <w:t xml:space="preserve">L.N. Eduardo, M.M. Mincarone, T. Sutton, A. Bertrand, Deep-pelagic fishes are anything but similar: A global synthesis, Ecology Letters 27 (2024) e14510. https://doi.org/</w:t>
      </w:r>
      <w:hyperlink r:id="rId54">
        <w:r>
          <w:rPr>
            <w:rStyle w:val="Hyperlink"/>
          </w:rPr>
          <w:t xml:space="preserve">10.1111/ele.14510</w:t>
        </w:r>
      </w:hyperlink>
      <w:r>
        <w:t xml:space="preserve">.</w:t>
      </w:r>
    </w:p>
    <w:bookmarkEnd w:id="55"/>
    <w:bookmarkStart w:id="57" w:name="ref-haddock2024"/>
    <w:p>
      <w:pPr>
        <w:pStyle w:val="Bibliography"/>
      </w:pPr>
      <w:r>
        <w:t xml:space="preserve">[4]</w:t>
      </w:r>
      <w:r>
        <w:t xml:space="preserve"> </w:t>
      </w:r>
      <w:r>
        <w:t xml:space="preserve">	</w:t>
      </w:r>
      <w:r>
        <w:t xml:space="preserve">S.H.D. Haddock, C.A. Choy, Life in the midwater: The ecology of deep pelagic animals, Annual Review of Marine Science 16 (2024) 383–416. https://doi.org/</w:t>
      </w:r>
      <w:hyperlink r:id="rId56">
        <w:r>
          <w:rPr>
            <w:rStyle w:val="Hyperlink"/>
          </w:rPr>
          <w:t xml:space="preserve">10.1146/annurev-marine-031623-095435</w:t>
        </w:r>
      </w:hyperlink>
      <w:r>
        <w:t xml:space="preserve">.</w:t>
      </w:r>
    </w:p>
    <w:bookmarkEnd w:id="57"/>
    <w:bookmarkStart w:id="59" w:name="ref-robinson2010"/>
    <w:p>
      <w:pPr>
        <w:pStyle w:val="Bibliography"/>
      </w:pPr>
      <w:r>
        <w:t xml:space="preserve">[5]</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8">
        <w:r>
          <w:rPr>
            <w:rStyle w:val="Hyperlink"/>
          </w:rPr>
          <w:t xml:space="preserve">10.1016/j.dsr2.2010.02.018</w:t>
        </w:r>
      </w:hyperlink>
      <w:r>
        <w:t xml:space="preserve">.</w:t>
      </w:r>
    </w:p>
    <w:bookmarkEnd w:id="59"/>
    <w:bookmarkStart w:id="61" w:name="ref-passow2012"/>
    <w:p>
      <w:pPr>
        <w:pStyle w:val="Bibliography"/>
      </w:pPr>
      <w:r>
        <w:t xml:space="preserve">[6]</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60">
        <w:r>
          <w:rPr>
            <w:rStyle w:val="Hyperlink"/>
          </w:rPr>
          <w:t xml:space="preserve">10.3354/meps09985</w:t>
        </w:r>
      </w:hyperlink>
      <w:r>
        <w:t xml:space="preserve">.</w:t>
      </w:r>
    </w:p>
    <w:bookmarkEnd w:id="61"/>
    <w:bookmarkStart w:id="63" w:name="ref-martin2020"/>
    <w:p>
      <w:pPr>
        <w:pStyle w:val="Bibliography"/>
      </w:pPr>
      <w:r>
        <w:t xml:space="preserve">[7]</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2">
        <w:r>
          <w:rPr>
            <w:rStyle w:val="Hyperlink"/>
          </w:rPr>
          <w:t xml:space="preserve">10.1038/d41586-020-00915-7</w:t>
        </w:r>
      </w:hyperlink>
      <w:r>
        <w:t xml:space="preserve">.</w:t>
      </w:r>
    </w:p>
    <w:bookmarkEnd w:id="63"/>
    <w:bookmarkStart w:id="65" w:name="ref-eduardo2025"/>
    <w:p>
      <w:pPr>
        <w:pStyle w:val="Bibliography"/>
      </w:pPr>
      <w:r>
        <w:t xml:space="preserve">[8]</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4">
        <w:r>
          <w:rPr>
            <w:rStyle w:val="Hyperlink"/>
          </w:rPr>
          <w:t xml:space="preserve">10.1038/s41559-025-02692-w</w:t>
        </w:r>
      </w:hyperlink>
      <w:r>
        <w:t xml:space="preserve">.</w:t>
      </w:r>
    </w:p>
    <w:bookmarkEnd w:id="65"/>
    <w:bookmarkStart w:id="67" w:name="ref-echoview"/>
    <w:p>
      <w:pPr>
        <w:pStyle w:val="Bibliography"/>
      </w:pPr>
      <w:r>
        <w:t xml:space="preserve">[9]</w:t>
      </w:r>
      <w:r>
        <w:t xml:space="preserve"> </w:t>
      </w:r>
      <w:r>
        <w:t xml:space="preserve">	</w:t>
      </w:r>
      <w:r>
        <w:t xml:space="preserve">Echoview, (n.d.).</w:t>
      </w:r>
      <w:r>
        <w:t xml:space="preserve"> </w:t>
      </w:r>
      <w:hyperlink r:id="rId66">
        <w:r>
          <w:rPr>
            <w:rStyle w:val="Hyperlink"/>
          </w:rPr>
          <w:t xml:space="preserve">https://echoview.com/support/release-notes/</w:t>
        </w:r>
      </w:hyperlink>
      <w:r>
        <w:t xml:space="preserve"> </w:t>
      </w:r>
      <w:r>
        <w:t xml:space="preserve">(accessed July 31, 2026).</w:t>
      </w:r>
    </w:p>
    <w:bookmarkEnd w:id="67"/>
    <w:bookmarkStart w:id="69"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8">
        <w:r>
          <w:rPr>
            <w:rStyle w:val="Hyperlink"/>
          </w:rPr>
          <w:t xml:space="preserve">https://www.academia.edu/143858735/The_large_scale_survey_system_LSSS</w:t>
        </w:r>
      </w:hyperlink>
      <w:r>
        <w:t xml:space="preserve">.</w:t>
      </w:r>
    </w:p>
    <w:bookmarkEnd w:id="69"/>
    <w:bookmarkStart w:id="71"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0">
        <w:r>
          <w:rPr>
            <w:rStyle w:val="Hyperlink"/>
          </w:rPr>
          <w:t xml:space="preserve">10.1051/alr/2009027</w:t>
        </w:r>
      </w:hyperlink>
      <w:r>
        <w:t xml:space="preserve">.</w:t>
      </w:r>
    </w:p>
    <w:bookmarkEnd w:id="71"/>
    <w:bookmarkStart w:id="73"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2">
        <w:r>
          <w:rPr>
            <w:rStyle w:val="Hyperlink"/>
          </w:rPr>
          <w:t xml:space="preserve">10.1016/j.softx.2020.100581</w:t>
        </w:r>
      </w:hyperlink>
      <w:r>
        <w:t xml:space="preserve">.</w:t>
      </w:r>
    </w:p>
    <w:bookmarkEnd w:id="73"/>
    <w:bookmarkStart w:id="75"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4">
        <w:r>
          <w:rPr>
            <w:rStyle w:val="Hyperlink"/>
          </w:rPr>
          <w:t xml:space="preserve">10.1007/s40857-018-0135-x</w:t>
        </w:r>
      </w:hyperlink>
      <w:r>
        <w:t xml:space="preserve">.</w:t>
      </w:r>
    </w:p>
    <w:bookmarkEnd w:id="75"/>
    <w:bookmarkStart w:id="77"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6">
        <w:r>
          <w:rPr>
            <w:rStyle w:val="Hyperlink"/>
          </w:rPr>
          <w:t xml:space="preserve">10.25080/WXRH8633</w:t>
        </w:r>
      </w:hyperlink>
      <w:r>
        <w:t xml:space="preserve">.</w:t>
      </w:r>
    </w:p>
    <w:bookmarkEnd w:id="77"/>
    <w:bookmarkStart w:id="79"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8">
        <w:r>
          <w:rPr>
            <w:rStyle w:val="Hyperlink"/>
          </w:rPr>
          <w:t xml:space="preserve">10.1093/icesjms/fsae133</w:t>
        </w:r>
      </w:hyperlink>
      <w:r>
        <w:t xml:space="preserve">.</w:t>
      </w:r>
    </w:p>
    <w:bookmarkEnd w:id="79"/>
    <w:bookmarkStart w:id="81" w:name="ref-kentaro"/>
    <w:p>
      <w:pPr>
        <w:pStyle w:val="Bibliography"/>
      </w:pPr>
      <w:r>
        <w:t xml:space="preserve">[16]</w:t>
      </w:r>
      <w:r>
        <w:t xml:space="preserve"> </w:t>
      </w:r>
      <w:r>
        <w:t xml:space="preserve">	</w:t>
      </w:r>
      <w:r>
        <w:t xml:space="preserve">K. Wada, Labelme: Image polygonal annotation with python, (2026). https://doi.org/</w:t>
      </w:r>
      <w:hyperlink r:id="rId80">
        <w:r>
          <w:rPr>
            <w:rStyle w:val="Hyperlink"/>
          </w:rPr>
          <w:t xml:space="preserve">10.5281/zenodo.5711226</w:t>
        </w:r>
      </w:hyperlink>
      <w:r>
        <w:t xml:space="preserve">.</w:t>
      </w:r>
    </w:p>
    <w:bookmarkEnd w:id="81"/>
    <w:bookmarkStart w:id="83" w:name="ref-maclennan2002"/>
    <w:p>
      <w:pPr>
        <w:pStyle w:val="Bibliography"/>
      </w:pPr>
      <w:r>
        <w:t xml:space="preserve">[17]</w:t>
      </w:r>
      <w:r>
        <w:t xml:space="preserve"> </w:t>
      </w:r>
      <w:r>
        <w:t xml:space="preserve">	</w:t>
      </w:r>
      <w:r>
        <w:t xml:space="preserve">D.N. Maclennan, P.G. Fernandes, J. Dalen, A consistent approach to definitions and symbols in fisheries acoustics, ICES Journal of Marine Science 59 (2002) 365–369. https://doi.org/</w:t>
      </w:r>
      <w:hyperlink r:id="rId82">
        <w:r>
          <w:rPr>
            <w:rStyle w:val="Hyperlink"/>
          </w:rPr>
          <w:t xml:space="preserve">10.1006/jmsc.2001.1158</w:t>
        </w:r>
      </w:hyperlink>
      <w:r>
        <w:t xml:space="preserve">.</w:t>
      </w:r>
    </w:p>
    <w:bookmarkEnd w:id="83"/>
    <w:bookmarkStart w:id="84" w:name="ref-kunnath2018"/>
    <w:p>
      <w:pPr>
        <w:pStyle w:val="Bibliography"/>
      </w:pPr>
      <w:r>
        <w:t xml:space="preserve">[18]</w:t>
      </w:r>
      <w:r>
        <w:t xml:space="preserve"> </w:t>
      </w:r>
      <w:r>
        <w:t xml:space="preserve">	</w:t>
      </w:r>
      <w:r>
        <w:t xml:space="preserve">H. Kunnath, R. Kloser, T. Ryan, IMOS SOOP-BA netCDF conventions. Version 2.2, Commonwealth Scientific; Industrial Research Organisation, Hobart, TAS, 2018.</w:t>
      </w:r>
    </w:p>
    <w:bookmarkEnd w:id="84"/>
    <w:bookmarkStart w:id="86" w:name="ref-ariza2022"/>
    <w:p>
      <w:pPr>
        <w:pStyle w:val="Bibliography"/>
      </w:pPr>
      <w:r>
        <w:t xml:space="preserve">[19]</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5">
        <w:r>
          <w:rPr>
            <w:rStyle w:val="Hyperlink"/>
          </w:rPr>
          <w:t xml:space="preserve">10.1111/jbi.14534</w:t>
        </w:r>
      </w:hyperlink>
      <w:r>
        <w:t xml:space="preserve">.</w:t>
      </w:r>
    </w:p>
    <w:bookmarkEnd w:id="86"/>
    <w:bookmarkStart w:id="88" w:name="ref-annasawmy2019"/>
    <w:p>
      <w:pPr>
        <w:pStyle w:val="Bibliography"/>
      </w:pPr>
      <w:r>
        <w:t xml:space="preserve">[20]</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7">
        <w:r>
          <w:rPr>
            <w:rStyle w:val="Hyperlink"/>
          </w:rPr>
          <w:t xml:space="preserve">10.1016/j.pocean.2019.102161</w:t>
        </w:r>
      </w:hyperlink>
      <w:r>
        <w:t xml:space="preserve">.</w:t>
      </w:r>
    </w:p>
    <w:bookmarkEnd w:id="88"/>
    <w:bookmarkStart w:id="90" w:name="ref-abracos2cruise"/>
    <w:p>
      <w:pPr>
        <w:pStyle w:val="Bibliography"/>
      </w:pPr>
      <w:r>
        <w:t xml:space="preserve">[21]</w:t>
      </w:r>
      <w:r>
        <w:t xml:space="preserve"> </w:t>
      </w:r>
      <w:r>
        <w:t xml:space="preserve">	</w:t>
      </w:r>
      <w:r>
        <w:t xml:space="preserve">A. Bertrand, ABRACOS 2 cruise, RV antea, (2017). https://doi.org/</w:t>
      </w:r>
      <w:hyperlink r:id="rId89">
        <w:r>
          <w:rPr>
            <w:rStyle w:val="Hyperlink"/>
          </w:rPr>
          <w:t xml:space="preserve">10.17600/17004100</w:t>
        </w:r>
      </w:hyperlink>
      <w:r>
        <w:t xml:space="preserve">.</w:t>
      </w:r>
    </w:p>
    <w:bookmarkEnd w:id="90"/>
    <w:bookmarkStart w:id="92" w:name="ref-bertrand2026"/>
    <w:p>
      <w:pPr>
        <w:pStyle w:val="Bibliography"/>
      </w:pPr>
      <w:r>
        <w:t xml:space="preserve">[22]</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1">
        <w:r>
          <w:rPr>
            <w:rStyle w:val="Hyperlink"/>
          </w:rPr>
          <w:t xml:space="preserve">10.5194/essd-2026-512</w:t>
        </w:r>
      </w:hyperlink>
      <w:r>
        <w:t xml:space="preserve">.</w:t>
      </w:r>
    </w:p>
    <w:bookmarkEnd w:id="92"/>
    <w:bookmarkStart w:id="94" w:name="ref-demer2015"/>
    <w:p>
      <w:pPr>
        <w:pStyle w:val="Bibliography"/>
      </w:pPr>
      <w:r>
        <w:t xml:space="preserve">[23]</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3">
        <w:r>
          <w:rPr>
            <w:rStyle w:val="Hyperlink"/>
          </w:rPr>
          <w:t xml:space="preserve">https://repository.oceanbestpractices.org/handle/11329/626</w:t>
        </w:r>
      </w:hyperlink>
      <w:r>
        <w:t xml:space="preserve">.</w:t>
      </w:r>
    </w:p>
    <w:bookmarkEnd w:id="94"/>
    <w:bookmarkStart w:id="96" w:name="ref-brierley2014"/>
    <w:p>
      <w:pPr>
        <w:pStyle w:val="Bibliography"/>
      </w:pPr>
      <w:r>
        <w:t xml:space="preserve">[24]</w:t>
      </w:r>
      <w:r>
        <w:t xml:space="preserve"> </w:t>
      </w:r>
      <w:r>
        <w:t xml:space="preserve">	</w:t>
      </w:r>
      <w:r>
        <w:t xml:space="preserve">A.S. Brierley, Diel vertical migration, Current Biology 24 (2014) R1074–R1076. https://doi.org/</w:t>
      </w:r>
      <w:hyperlink r:id="rId95">
        <w:r>
          <w:rPr>
            <w:rStyle w:val="Hyperlink"/>
          </w:rPr>
          <w:t xml:space="preserve">10.1016/j.cub.2014.08.054</w:t>
        </w:r>
      </w:hyperlink>
      <w:r>
        <w:t xml:space="preserve">.</w:t>
      </w:r>
    </w:p>
    <w:bookmarkEnd w:id="96"/>
    <w:bookmarkEnd w:id="97"/>
    <w:bookmarkEnd w:id="98"/>
    <w:bookmarkStart w:id="103" w:name="supplementary"/>
    <w:p>
      <w:pPr>
        <w:pStyle w:val="Heading2"/>
      </w:pPr>
      <w:r>
        <w:t xml:space="preserve">6 Supplementary</w:t>
      </w:r>
    </w:p>
    <w:tbl>
      <w:tblPr>
        <w:tblStyle w:val="Table"/>
        <w:tblW w:type="pct" w:w="5000"/>
        <w:tblLayout w:type="fixed"/>
        <w:tblLook w:firstRow="0" w:lastRow="0" w:firstColumn="0" w:lastColumn="0" w:noHBand="0" w:noVBand="0" w:val="0000"/>
      </w:tblPr>
      <w:tblGrid>
        <w:gridCol w:w="7920"/>
      </w:tblGrid>
      <w:tr>
        <w:tc>
          <w:tcPr/>
          <w:bookmarkStart w:id="102" w:name="fig-layer-analysis-supp"/>
          <w:p>
            <w:pPr>
              <w:pStyle w:val="Compact"/>
              <w:jc w:val="center"/>
            </w:pPr>
            <w:r>
              <w:drawing>
                <wp:inline>
                  <wp:extent cx="5334000" cy="1632903"/>
                  <wp:effectExtent b="0" l="0" r="0" t="0"/>
                  <wp:docPr descr="" title="" id="100" name="Picture"/>
                  <a:graphic>
                    <a:graphicData uri="http://schemas.openxmlformats.org/drawingml/2006/picture">
                      <pic:pic>
                        <pic:nvPicPr>
                          <pic:cNvPr descr="images/fuzzy-layer-analysis-e.png" id="101" name="Picture"/>
                          <pic:cNvPicPr>
                            <a:picLocks noChangeArrowheads="1" noChangeAspect="1"/>
                          </pic:cNvPicPr>
                        </pic:nvPicPr>
                        <pic:blipFill>
                          <a:blip r:embed="rId99"/>
                          <a:stretch>
                            <a:fillRect/>
                          </a:stretch>
                        </pic:blipFill>
                        <pic:spPr bwMode="auto">
                          <a:xfrm>
                            <a:off x="0" y="0"/>
                            <a:ext cx="5334000" cy="1632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RGB echogram of data within the layer mask. See</w:t>
            </w:r>
            <w:r>
              <w:t xml:space="preserve"> </w:t>
            </w:r>
            <w:hyperlink w:anchor="fig-basic-tasks">
              <w:r>
                <w:rPr>
                  <w:rStyle w:val="Hyperlink"/>
                </w:rPr>
                <w:t xml:space="preserve">Figure 2</w:t>
              </w:r>
            </w:hyperlink>
            <w:r>
              <w:t xml:space="preserve"> </w:t>
            </w:r>
            <w:r>
              <w:t xml:space="preserve">for color bar. The red line indicates the smoothed</w:t>
            </w:r>
            <w:r>
              <w:t xml:space="preserve"> </w:t>
            </w:r>
            <m:oMath>
              <m:sSub>
                <m:e>
                  <m:r>
                    <m:t>s</m:t>
                  </m:r>
                </m:e>
                <m:sub>
                  <m:r>
                    <m:t>A</m:t>
                  </m:r>
                </m:sub>
              </m:sSub>
            </m:oMath>
            <w:r>
              <w:t xml:space="preserve">-weighted mean depth. (b) Comparison of downward vertical speed (compute from the smoothed mean depth) with</w:t>
            </w:r>
            <w:r>
              <w:t xml:space="preserve"> </w:t>
            </w:r>
            <m:oMath>
              <m:r>
                <m:rPr>
                  <m:sty m:val="p"/>
                </m:rPr>
                <m:t>Δ</m:t>
              </m:r>
              <m:sSub>
                <m:e>
                  <m:r>
                    <m:rPr>
                      <m:nor/>
                      <m:sty m:val="p"/>
                    </m:rPr>
                    <m:t>MVBS</m:t>
                  </m:r>
                </m:e>
                <m:sub>
                  <m:r>
                    <m:t>70</m:t>
                  </m:r>
                  <m:r>
                    <m:rPr>
                      <m:sty m:val="p"/>
                    </m:rPr>
                    <m:t>−</m:t>
                  </m:r>
                  <m:r>
                    <m:t>38</m:t>
                  </m:r>
                  <m:r>
                    <m:rPr>
                      <m:nor/>
                      <m:sty m:val="p"/>
                    </m:rPr>
                    <m:t>kHz</m:t>
                  </m:r>
                </m:sub>
              </m:sSub>
              <m:r>
                <m:rPr>
                  <m:nor/>
                  <m:sty m:val="p"/>
                </m:rPr>
                <m:t>[dB]</m:t>
              </m:r>
            </m:oMath>
            <w:r>
              <w:t xml:space="preserve">.</w:t>
            </w:r>
          </w:p>
          <w:bookmarkEnd w:id="102"/>
        </w:tc>
      </w:tr>
    </w:tbl>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9" Target="media/rId9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5" Target="https://doi.org/10.1016/j.cub.2014.08.054" TargetMode="External" /><Relationship Type="http://schemas.openxmlformats.org/officeDocument/2006/relationships/hyperlink" Id="rId58"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95" Target="https://doi.org/10.1016/j.cub.2014.08.054" TargetMode="External" /><Relationship Type="http://schemas.openxmlformats.org/officeDocument/2006/relationships/hyperlink" Id="rId58"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2" Target="https://doi.org/10.1038/d41586-020-00915-7" TargetMode="External" /><Relationship Type="http://schemas.openxmlformats.org/officeDocument/2006/relationships/hyperlink" Id="rId52" Target="https://doi.org/10.1038/ncomms4271" TargetMode="External" /><Relationship Type="http://schemas.openxmlformats.org/officeDocument/2006/relationships/hyperlink" Id="rId64"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4"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6" Target="https://doi.org/10.1146/annurev-marine-031623-095435" TargetMode="External" /><Relationship Type="http://schemas.openxmlformats.org/officeDocument/2006/relationships/hyperlink" Id="rId50"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60"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6"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marine ecology</dc:title>
  <dc:creator>Gaspard Ringuenet; Gildas Roudaut; Alejandro Ariza; Arnaud Bertrand</dc:creator>
  <cp:keywords>Active acoustics, Multifrequency, Echogram annotation, Aquatic ecology, Open source</cp:keywords>
  <dcterms:created xsi:type="dcterms:W3CDTF">2026-10-13T08:55:19Z</dcterms:created>
  <dcterms:modified xsi:type="dcterms:W3CDTF">2026-10-13T08:55:19Z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aquatic ecosystems, delivering high-resolution information over large spatial scales. Yet processing these data still relies heavily on manual annotation, and no open-source annotation tool currently integrates with Echostack, the emerging Python toolkit for echosounder data. We present Echolabel, an open-source, cross-platform tool for fast echogram visualization and annotation, which produces CSV outputs directly compatible with Echoregions, the Echostack package for handling annotation. Echolabel is deliberately minimal and task-specific, and is not intended to replace general-purpose acoustic processing software. The tool is available as a command-line interface and as a Python application programming interface. It builds on the LabelMe graphical user interface to annotate cached echogram images and transparently converts between images and physical (time, depth) coordinates. Visualization options include RGB-composite echograms, which combine several acoustic frequencies and enable annotations informed by the frequency response of the imaged targets. We demonstrate the practical utility of Echolabel, combined with Echoregions, on routine annotation tasks and a brief ecological analysis. Echolabel is particularly well suited to delineating irregular, fuzzy objects such as sound-scattering layers, and thus facilitates the sonar-based investigation of aquatic ecosystems.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2026-10-13</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