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2A35BDB3" w:rsidR="004F2A8B" w:rsidRDefault="00790384" w:rsidP="3D28A338">
            <w:pPr>
              <w:jc w:val="both"/>
              <w:rPr>
                <w:rFonts w:ascii="Calibri" w:hAnsi="Calibri"/>
                <w:b/>
                <w:bCs/>
                <w:color w:val="1F4E79" w:themeColor="accent1" w:themeShade="80"/>
              </w:rPr>
            </w:pPr>
            <w:r w:rsidRPr="00790384">
              <w:rPr>
                <w:rFonts w:ascii="Calibri" w:hAnsi="Calibri"/>
                <w:b/>
                <w:bCs/>
                <w:color w:val="1F4E79" w:themeColor="accent1" w:themeShade="80"/>
              </w:rPr>
              <w:t>Las actividades de la Fase 1 (definición del backlog y, y presentación del proyecto) se cumplieron en las semanas planificadas, y el Sprint 1 se cerró en lo esencial: definimos y normalizamos el modelo de datos y dejamos funcionando el entorno de desarrollo</w:t>
            </w:r>
          </w:p>
          <w:p w14:paraId="4B137E35" w14:textId="2ADE386A" w:rsidR="004F2A8B" w:rsidRDefault="00790384" w:rsidP="3D28A338">
            <w:pPr>
              <w:jc w:val="both"/>
              <w:rPr>
                <w:rFonts w:ascii="Calibri" w:hAnsi="Calibri"/>
                <w:b/>
                <w:bCs/>
                <w:color w:val="1F4E79" w:themeColor="accent1" w:themeShade="80"/>
              </w:rPr>
            </w:pPr>
            <w:r>
              <w:rPr>
                <w:rFonts w:ascii="Calibri" w:hAnsi="Calibri"/>
                <w:b/>
                <w:bCs/>
                <w:color w:val="1F4E79" w:themeColor="accent1" w:themeShade="80"/>
              </w:rPr>
              <w:t xml:space="preserve">Hemos avanzado ya en procesos del sprint 2 </w:t>
            </w:r>
            <w:r w:rsidRPr="00790384">
              <w:rPr>
                <w:rFonts w:ascii="Calibri" w:hAnsi="Calibri"/>
                <w:b/>
                <w:bCs/>
                <w:color w:val="1F4E79" w:themeColor="accent1" w:themeShade="80"/>
              </w:rPr>
              <w:t xml:space="preserve">va parcialmente cumplido: el backend ya recibe </w:t>
            </w:r>
            <w:proofErr w:type="gramStart"/>
            <w:r w:rsidRPr="00790384">
              <w:rPr>
                <w:rFonts w:ascii="Calibri" w:hAnsi="Calibri"/>
                <w:b/>
                <w:bCs/>
                <w:color w:val="1F4E79" w:themeColor="accent1" w:themeShade="80"/>
              </w:rPr>
              <w:t>tickets</w:t>
            </w:r>
            <w:proofErr w:type="gramEnd"/>
            <w:r w:rsidRPr="00790384">
              <w:rPr>
                <w:rFonts w:ascii="Calibri" w:hAnsi="Calibri"/>
                <w:b/>
                <w:bCs/>
                <w:color w:val="1F4E79" w:themeColor="accent1" w:themeShade="80"/>
              </w:rPr>
              <w:t xml:space="preserve"> por webhook, calcula y sella los plazos legales, evalúa su vencimiento en segundo plano y expone la información al prototipo web. Sin embargo, la integración con la API de INVGATE no ha sido posible y las notificaciones todavía no están implementadas.</w:t>
            </w:r>
            <w:r>
              <w:rPr>
                <w:rFonts w:ascii="Calibri" w:hAnsi="Calibri"/>
                <w:b/>
                <w:bCs/>
                <w:color w:val="1F4E79" w:themeColor="accent1" w:themeShade="80"/>
              </w:rPr>
              <w:br/>
            </w:r>
            <w:r>
              <w:rPr>
                <w:rFonts w:ascii="Calibri" w:hAnsi="Calibri"/>
                <w:b/>
                <w:bCs/>
                <w:color w:val="1F4E79" w:themeColor="accent1" w:themeShade="80"/>
              </w:rPr>
              <w:br/>
            </w:r>
            <w:r w:rsidRPr="00790384">
              <w:rPr>
                <w:rFonts w:ascii="Calibri" w:hAnsi="Calibri"/>
                <w:b/>
                <w:bCs/>
                <w:color w:val="1F4E79" w:themeColor="accent1" w:themeShade="80"/>
              </w:rPr>
              <w:t>Facilitaron el trabajo un mandante real y comprometido, reuniones de coordinación frecuentes, una infraestructura y un catálogo de tecnologías ya definidos por UltraPort y la división clara de roles entre gestión y backend. Lo dificultó la dependencia de entregables de UltraPort que llegan de forma progresiva: las credenciales de INVGATE siguen pendientes y las definiciones de estados y de algunos flujos se fueron aclarando recién en reuniones posteriores.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52C5A9F2" w:rsidR="004F2A8B" w:rsidRDefault="00790384" w:rsidP="3D28A338">
            <w:pPr>
              <w:jc w:val="both"/>
              <w:rPr>
                <w:rFonts w:ascii="Calibri" w:hAnsi="Calibri"/>
                <w:b/>
                <w:bCs/>
                <w:color w:val="1F4E79" w:themeColor="accent1" w:themeShade="80"/>
              </w:rPr>
            </w:pPr>
            <w:r w:rsidRPr="00790384">
              <w:rPr>
                <w:rFonts w:ascii="Calibri" w:hAnsi="Calibri"/>
                <w:b/>
                <w:bCs/>
                <w:color w:val="1F4E79" w:themeColor="accent1" w:themeShade="80"/>
              </w:rPr>
              <w:t>Ante la falta de credenciales de INVGATE decidimos avanzar con el webhook y dejar la consulta a la API como evolución futura, con una fecha límite para definirlo. Para los canales de correo y Teams optamos por el registro manual, que no depende de permisos de UltraPort. Documentamos cada decisión y cada acuerdo (por ejemplo, la advertencia a UltraPort sobre el fin de soporte de .NET 8, hecha en reunión presencial el 16 de septiembre) para tener evidencia y evitar malentendidos.</w:t>
            </w:r>
            <w:r>
              <w:rPr>
                <w:rFonts w:ascii="Calibri" w:hAnsi="Calibri"/>
                <w:b/>
                <w:bCs/>
                <w:color w:val="1F4E79" w:themeColor="accent1" w:themeShade="80"/>
              </w:rPr>
              <w:br/>
            </w:r>
            <w:r>
              <w:rPr>
                <w:rFonts w:ascii="Calibri" w:hAnsi="Calibri"/>
                <w:b/>
                <w:bCs/>
                <w:color w:val="1F4E79" w:themeColor="accent1" w:themeShade="80"/>
              </w:rPr>
              <w:br/>
            </w:r>
            <w:r w:rsidRPr="00790384">
              <w:rPr>
                <w:rFonts w:ascii="Calibri" w:hAnsi="Calibri"/>
                <w:b/>
                <w:bCs/>
                <w:color w:val="1F4E79" w:themeColor="accent1" w:themeShade="80"/>
              </w:rPr>
              <w:lastRenderedPageBreak/>
              <w:t xml:space="preserve">Para lo que sigue, planeamos consolidar en una sola lista las consultas pendientes a UltraPort, replanificar los </w:t>
            </w:r>
            <w:proofErr w:type="spellStart"/>
            <w:r w:rsidRPr="00790384">
              <w:rPr>
                <w:rFonts w:ascii="Calibri" w:hAnsi="Calibri"/>
                <w:b/>
                <w:bCs/>
                <w:color w:val="1F4E79" w:themeColor="accent1" w:themeShade="80"/>
              </w:rPr>
              <w:t>sprints</w:t>
            </w:r>
            <w:proofErr w:type="spellEnd"/>
            <w:r w:rsidRPr="00790384">
              <w:rPr>
                <w:rFonts w:ascii="Calibri" w:hAnsi="Calibri"/>
                <w:b/>
                <w:bCs/>
                <w:color w:val="1F4E79" w:themeColor="accent1" w:themeShade="80"/>
              </w:rPr>
              <w:t xml:space="preserve"> restantes según lo que sí controlamos</w:t>
            </w:r>
            <w:r>
              <w:rPr>
                <w:rFonts w:ascii="Calibri" w:hAnsi="Calibri"/>
                <w:b/>
                <w:bCs/>
                <w:color w:val="1F4E79" w:themeColor="accent1" w:themeShade="80"/>
              </w:rPr>
              <w:t xml:space="preserve"> </w:t>
            </w:r>
            <w:proofErr w:type="gramStart"/>
            <w:r>
              <w:rPr>
                <w:rFonts w:ascii="Calibri" w:hAnsi="Calibri"/>
                <w:b/>
                <w:bCs/>
                <w:color w:val="1F4E79" w:themeColor="accent1" w:themeShade="80"/>
              </w:rPr>
              <w:t>en caso que</w:t>
            </w:r>
            <w:proofErr w:type="gramEnd"/>
            <w:r>
              <w:rPr>
                <w:rFonts w:ascii="Calibri" w:hAnsi="Calibri"/>
                <w:b/>
                <w:bCs/>
                <w:color w:val="1F4E79" w:themeColor="accent1" w:themeShade="80"/>
              </w:rPr>
              <w:t xml:space="preserve"> lo necesitemos </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264251BE" w:rsidR="004F2A8B" w:rsidRDefault="00790384" w:rsidP="3D28A338">
            <w:pPr>
              <w:jc w:val="both"/>
              <w:rPr>
                <w:rFonts w:ascii="Calibri" w:hAnsi="Calibri"/>
                <w:b/>
                <w:bCs/>
                <w:color w:val="1F4E79" w:themeColor="accent1" w:themeShade="80"/>
              </w:rPr>
            </w:pPr>
            <w:r w:rsidRPr="00790384">
              <w:rPr>
                <w:rFonts w:ascii="Calibri" w:hAnsi="Calibri"/>
                <w:b/>
                <w:bCs/>
                <w:color w:val="1F4E79" w:themeColor="accent1" w:themeShade="80"/>
              </w:rPr>
              <w:t>Destaco haber traducido la Ley N° 21.663 en flujos de trabajo concretos que UltraPort aceptó, haber detectado a tiempo riesgos como el fin de soporte de .NET 8, y haber mantenido una documentación ordenada y coherente con las decisiones del mandante.</w:t>
            </w:r>
            <w:r>
              <w:rPr>
                <w:rFonts w:ascii="Calibri" w:hAnsi="Calibri"/>
                <w:b/>
                <w:bCs/>
                <w:color w:val="1F4E79" w:themeColor="accent1" w:themeShade="80"/>
              </w:rPr>
              <w:t xml:space="preserve"> También el de haber notado puntos de mejora como tratar posibles lugares frágiles en seguridad dentro de la base de datos del proyecto que podrían haber sido explotables por un tercero </w:t>
            </w:r>
            <w:r w:rsidRPr="00790384">
              <w:rPr>
                <w:rFonts w:ascii="Calibri" w:hAnsi="Calibri"/>
                <w:b/>
                <w:bCs/>
                <w:color w:val="1F4E79" w:themeColor="accent1" w:themeShade="80"/>
              </w:rPr>
              <w:t>Como aspectos a mejorar: anticipar antes las dependencias externas y dejarlas con fecha comprometida, validar los supuestos con el mandante antes de documentarlos</w:t>
            </w:r>
            <w:r>
              <w:rPr>
                <w:rFonts w:ascii="Calibri" w:hAnsi="Calibri"/>
                <w:b/>
                <w:bCs/>
                <w:color w:val="1F4E79" w:themeColor="accent1" w:themeShade="80"/>
              </w:rPr>
              <w:t xml:space="preserve"> ya que </w:t>
            </w:r>
            <w:r w:rsidRPr="00790384">
              <w:rPr>
                <w:rFonts w:ascii="Calibri" w:hAnsi="Calibri"/>
                <w:b/>
                <w:bCs/>
                <w:color w:val="1F4E79" w:themeColor="accent1" w:themeShade="80"/>
              </w:rPr>
              <w:t>algunas definiciones las tuvimos que corregir</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D5578B" w:rsidR="004F2A8B" w:rsidRDefault="00790384" w:rsidP="3D28A338">
            <w:pPr>
              <w:jc w:val="both"/>
              <w:rPr>
                <w:rFonts w:ascii="Calibri" w:hAnsi="Calibri"/>
                <w:b/>
                <w:bCs/>
                <w:color w:val="1F4E79" w:themeColor="accent1" w:themeShade="80"/>
              </w:rPr>
            </w:pPr>
            <w:r w:rsidRPr="00790384">
              <w:rPr>
                <w:rFonts w:ascii="Calibri" w:hAnsi="Calibri"/>
                <w:b/>
                <w:bCs/>
                <w:color w:val="1F4E79" w:themeColor="accent1" w:themeShade="80"/>
              </w:rPr>
              <w:t>¿Cómo se evaluará el cumplimiento del MVP si parte del alcance depende de insumos de UltraPort que aún no llegan, como las credenciales de INVGATE y los estados oficiales? ¿Es aceptable acotar el alcance y dejar el resto documentado como trabajo futuro?</w:t>
            </w:r>
            <w:r>
              <w:rPr>
                <w:rFonts w:ascii="Calibri" w:hAnsi="Calibri"/>
                <w:b/>
                <w:bCs/>
                <w:color w:val="1F4E79" w:themeColor="accent1" w:themeShade="80"/>
              </w:rPr>
              <w:br/>
            </w:r>
            <w:r>
              <w:rPr>
                <w:rFonts w:ascii="Calibri" w:hAnsi="Calibri"/>
                <w:b/>
                <w:bCs/>
                <w:color w:val="1F4E79" w:themeColor="accent1" w:themeShade="80"/>
              </w:rPr>
              <w:br/>
            </w:r>
            <w:r w:rsidRPr="00790384">
              <w:rPr>
                <w:rFonts w:ascii="Calibri" w:hAnsi="Calibri"/>
                <w:b/>
                <w:bCs/>
                <w:color w:val="1F4E79" w:themeColor="accent1" w:themeShade="80"/>
              </w:rPr>
              <w:t>Si el soporte de .NET 8 termina antes de la entrega por exigencia del mandante, ¿cómo conviene reflejarlo para la evaluación?</w:t>
            </w:r>
            <w:r>
              <w:rPr>
                <w:rFonts w:ascii="Calibri" w:hAnsi="Calibri"/>
                <w:b/>
                <w:bCs/>
                <w:color w:val="1F4E79" w:themeColor="accent1" w:themeShade="80"/>
              </w:rPr>
              <w:br/>
            </w:r>
            <w:r>
              <w:rPr>
                <w:rFonts w:ascii="Calibri" w:hAnsi="Calibri"/>
                <w:b/>
                <w:bCs/>
                <w:color w:val="1F4E79" w:themeColor="accent1" w:themeShade="80"/>
              </w:rPr>
              <w:br/>
            </w:r>
            <w:r w:rsidRPr="00790384">
              <w:rPr>
                <w:rFonts w:ascii="Calibri" w:hAnsi="Calibri"/>
                <w:b/>
                <w:bCs/>
                <w:color w:val="1F4E79" w:themeColor="accent1" w:themeShade="80"/>
              </w:rPr>
              <w:lastRenderedPageBreak/>
              <w:t>¿cómo manejaron los insumos que el cliente no entregó a tiempo y cómo documentaron los cambios de alcance durante el desarrollo?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C35FF15" w14:textId="38F3E4D6" w:rsidR="004F2A8B" w:rsidRDefault="00790384" w:rsidP="3D28A338">
            <w:pPr>
              <w:jc w:val="both"/>
              <w:rPr>
                <w:rFonts w:eastAsiaTheme="majorEastAsia"/>
                <w:color w:val="767171" w:themeColor="background2" w:themeShade="80"/>
                <w:sz w:val="24"/>
                <w:szCs w:val="24"/>
              </w:rPr>
            </w:pPr>
            <w:r>
              <w:rPr>
                <w:rFonts w:ascii="Calibri" w:hAnsi="Calibri"/>
                <w:b/>
                <w:bCs/>
                <w:color w:val="1F4E79" w:themeColor="accent1" w:themeShade="80"/>
              </w:rPr>
              <w:t xml:space="preserve"> Hemos distribuido el trabajo de forma especializada, pero no indica que uno haga todo, es decir que uno </w:t>
            </w:r>
            <w:proofErr w:type="spellStart"/>
            <w:r>
              <w:rPr>
                <w:rFonts w:ascii="Calibri" w:hAnsi="Calibri"/>
                <w:b/>
                <w:bCs/>
                <w:color w:val="1F4E79" w:themeColor="accent1" w:themeShade="80"/>
              </w:rPr>
              <w:t>esta</w:t>
            </w:r>
            <w:proofErr w:type="spellEnd"/>
            <w:r>
              <w:rPr>
                <w:rFonts w:ascii="Calibri" w:hAnsi="Calibri"/>
                <w:b/>
                <w:bCs/>
                <w:color w:val="1F4E79" w:themeColor="accent1" w:themeShade="80"/>
              </w:rPr>
              <w:t xml:space="preserve"> a cargo de esta parte del proyecto y el otro toma el rol de asistente, </w:t>
            </w:r>
            <w:r w:rsidR="00C01199">
              <w:rPr>
                <w:rFonts w:ascii="Calibri" w:hAnsi="Calibri"/>
                <w:b/>
                <w:bCs/>
                <w:color w:val="1F4E79" w:themeColor="accent1" w:themeShade="80"/>
              </w:rPr>
              <w:t xml:space="preserve">hay algunas nuevas tareas </w:t>
            </w:r>
            <w:proofErr w:type="gramStart"/>
            <w:r w:rsidR="00C01199">
              <w:rPr>
                <w:rFonts w:ascii="Calibri" w:hAnsi="Calibri"/>
                <w:b/>
                <w:bCs/>
                <w:color w:val="1F4E79" w:themeColor="accent1" w:themeShade="80"/>
              </w:rPr>
              <w:t>a</w:t>
            </w:r>
            <w:proofErr w:type="gramEnd"/>
            <w:r w:rsidR="00C01199">
              <w:rPr>
                <w:rFonts w:ascii="Calibri" w:hAnsi="Calibri"/>
                <w:b/>
                <w:bCs/>
                <w:color w:val="1F4E79" w:themeColor="accent1" w:themeShade="80"/>
              </w:rPr>
              <w:t xml:space="preserve"> tener en cuenta como la </w:t>
            </w:r>
            <w:r w:rsidR="00C01199" w:rsidRPr="00C01199">
              <w:rPr>
                <w:rFonts w:ascii="Calibri" w:hAnsi="Calibri"/>
                <w:b/>
                <w:bCs/>
                <w:color w:val="1F4E79" w:themeColor="accent1" w:themeShade="80"/>
              </w:rPr>
              <w:t>Carga de catálogos y reglas de SLA con migraciones</w:t>
            </w:r>
            <w:r w:rsidR="00C01199">
              <w:rPr>
                <w:rFonts w:ascii="Calibri" w:hAnsi="Calibri"/>
                <w:b/>
                <w:bCs/>
                <w:color w:val="1F4E79" w:themeColor="accent1" w:themeShade="80"/>
              </w:rPr>
              <w:t xml:space="preserve"> y </w:t>
            </w:r>
            <w:r w:rsidR="00C01199" w:rsidRPr="00C01199">
              <w:rPr>
                <w:rFonts w:ascii="Calibri" w:hAnsi="Calibri"/>
                <w:b/>
                <w:bCs/>
                <w:color w:val="1F4E79" w:themeColor="accent1" w:themeShade="80"/>
              </w:rPr>
              <w:t>Formulario de registro manual y pantalla de aprobación</w:t>
            </w:r>
            <w:r w:rsidR="00C01199">
              <w:rPr>
                <w:rFonts w:ascii="Calibri" w:hAnsi="Calibri"/>
                <w:b/>
                <w:bCs/>
                <w:color w:val="1F4E79" w:themeColor="accent1" w:themeShade="80"/>
              </w:rPr>
              <w:t>, pero no hay necesidad de hacer algún cambio al cronograma ya que nos encontramos en a tiempo de implementarlos según el ritmo de trabajo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5CFD58DE" w14:textId="3A2C92D1" w:rsidR="004F2A8B" w:rsidRDefault="00C01199" w:rsidP="3D28A338">
            <w:pPr>
              <w:jc w:val="both"/>
              <w:rPr>
                <w:rFonts w:eastAsiaTheme="majorEastAsia"/>
                <w:color w:val="767171" w:themeColor="background2" w:themeShade="80"/>
                <w:sz w:val="24"/>
                <w:szCs w:val="24"/>
              </w:rPr>
            </w:pPr>
            <w:r>
              <w:rPr>
                <w:rFonts w:ascii="Calibri" w:hAnsi="Calibri"/>
                <w:b/>
                <w:bCs/>
                <w:color w:val="1F4E79" w:themeColor="accent1" w:themeShade="80"/>
              </w:rPr>
              <w:t xml:space="preserve">Nos hemos apoyado mutuamente al hacer este trabajo, destaco la confianza mutua dentro del equipo y apoyo que nos damos en cada fase del desarrollo, nos cubrimos bien las deficiencias de cada uno, los aspectos a mejorar posiblemente sea el mejorar la comunicación no solo entre nosotros sino con el entorno de trabajo, q nos a costado mucho el poder abrirnos a ello </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B590E" w14:textId="77777777" w:rsidR="007110D2" w:rsidRDefault="007110D2" w:rsidP="00DF38AE">
      <w:pPr>
        <w:spacing w:after="0" w:line="240" w:lineRule="auto"/>
      </w:pPr>
      <w:r>
        <w:separator/>
      </w:r>
    </w:p>
  </w:endnote>
  <w:endnote w:type="continuationSeparator" w:id="0">
    <w:p w14:paraId="17BAD522" w14:textId="77777777" w:rsidR="007110D2" w:rsidRDefault="007110D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B8CDD" w14:textId="77777777" w:rsidR="007110D2" w:rsidRDefault="007110D2" w:rsidP="00DF38AE">
      <w:pPr>
        <w:spacing w:after="0" w:line="240" w:lineRule="auto"/>
      </w:pPr>
      <w:r>
        <w:separator/>
      </w:r>
    </w:p>
  </w:footnote>
  <w:footnote w:type="continuationSeparator" w:id="0">
    <w:p w14:paraId="1F3FBE70" w14:textId="77777777" w:rsidR="007110D2" w:rsidRDefault="007110D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37615370">
    <w:abstractNumId w:val="3"/>
  </w:num>
  <w:num w:numId="2" w16cid:durableId="613750733">
    <w:abstractNumId w:val="8"/>
  </w:num>
  <w:num w:numId="3" w16cid:durableId="185556649">
    <w:abstractNumId w:val="12"/>
  </w:num>
  <w:num w:numId="4" w16cid:durableId="1640846231">
    <w:abstractNumId w:val="28"/>
  </w:num>
  <w:num w:numId="5" w16cid:durableId="142700587">
    <w:abstractNumId w:val="30"/>
  </w:num>
  <w:num w:numId="6" w16cid:durableId="1560286647">
    <w:abstractNumId w:val="4"/>
  </w:num>
  <w:num w:numId="7" w16cid:durableId="1531262885">
    <w:abstractNumId w:val="11"/>
  </w:num>
  <w:num w:numId="8" w16cid:durableId="528686860">
    <w:abstractNumId w:val="19"/>
  </w:num>
  <w:num w:numId="9" w16cid:durableId="1013454245">
    <w:abstractNumId w:val="15"/>
  </w:num>
  <w:num w:numId="10" w16cid:durableId="945305614">
    <w:abstractNumId w:val="9"/>
  </w:num>
  <w:num w:numId="11" w16cid:durableId="1937126500">
    <w:abstractNumId w:val="24"/>
  </w:num>
  <w:num w:numId="12" w16cid:durableId="1295914824">
    <w:abstractNumId w:val="35"/>
  </w:num>
  <w:num w:numId="13" w16cid:durableId="1464612480">
    <w:abstractNumId w:val="29"/>
  </w:num>
  <w:num w:numId="14" w16cid:durableId="1849709244">
    <w:abstractNumId w:val="1"/>
  </w:num>
  <w:num w:numId="15" w16cid:durableId="1340812539">
    <w:abstractNumId w:val="36"/>
  </w:num>
  <w:num w:numId="16" w16cid:durableId="1506480308">
    <w:abstractNumId w:val="21"/>
  </w:num>
  <w:num w:numId="17" w16cid:durableId="1725987321">
    <w:abstractNumId w:val="17"/>
  </w:num>
  <w:num w:numId="18" w16cid:durableId="1274169957">
    <w:abstractNumId w:val="31"/>
  </w:num>
  <w:num w:numId="19" w16cid:durableId="818687611">
    <w:abstractNumId w:val="10"/>
  </w:num>
  <w:num w:numId="20" w16cid:durableId="1738434138">
    <w:abstractNumId w:val="39"/>
  </w:num>
  <w:num w:numId="21" w16cid:durableId="1311448177">
    <w:abstractNumId w:val="34"/>
  </w:num>
  <w:num w:numId="22" w16cid:durableId="408575687">
    <w:abstractNumId w:val="13"/>
  </w:num>
  <w:num w:numId="23" w16cid:durableId="471169353">
    <w:abstractNumId w:val="14"/>
  </w:num>
  <w:num w:numId="24" w16cid:durableId="1039670625">
    <w:abstractNumId w:val="5"/>
  </w:num>
  <w:num w:numId="25" w16cid:durableId="1673138967">
    <w:abstractNumId w:val="16"/>
  </w:num>
  <w:num w:numId="26" w16cid:durableId="2079284983">
    <w:abstractNumId w:val="20"/>
  </w:num>
  <w:num w:numId="27" w16cid:durableId="1342899781">
    <w:abstractNumId w:val="23"/>
  </w:num>
  <w:num w:numId="28" w16cid:durableId="2114813386">
    <w:abstractNumId w:val="0"/>
  </w:num>
  <w:num w:numId="29" w16cid:durableId="1165126411">
    <w:abstractNumId w:val="18"/>
  </w:num>
  <w:num w:numId="30" w16cid:durableId="1195582355">
    <w:abstractNumId w:val="22"/>
  </w:num>
  <w:num w:numId="31" w16cid:durableId="46269391">
    <w:abstractNumId w:val="2"/>
  </w:num>
  <w:num w:numId="32" w16cid:durableId="1294554445">
    <w:abstractNumId w:val="7"/>
  </w:num>
  <w:num w:numId="33" w16cid:durableId="2108184386">
    <w:abstractNumId w:val="32"/>
  </w:num>
  <w:num w:numId="34" w16cid:durableId="1618827713">
    <w:abstractNumId w:val="38"/>
  </w:num>
  <w:num w:numId="35" w16cid:durableId="1769691893">
    <w:abstractNumId w:val="6"/>
  </w:num>
  <w:num w:numId="36" w16cid:durableId="2006543565">
    <w:abstractNumId w:val="25"/>
  </w:num>
  <w:num w:numId="37" w16cid:durableId="1577663559">
    <w:abstractNumId w:val="37"/>
  </w:num>
  <w:num w:numId="38" w16cid:durableId="403992877">
    <w:abstractNumId w:val="27"/>
  </w:num>
  <w:num w:numId="39" w16cid:durableId="575749018">
    <w:abstractNumId w:val="26"/>
  </w:num>
  <w:num w:numId="40" w16cid:durableId="71620540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0D2"/>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384"/>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199"/>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4BB4"/>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812</Words>
  <Characters>4469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ALONSO AYALA LOPEZ</cp:lastModifiedBy>
  <cp:revision>2</cp:revision>
  <cp:lastPrinted>2019-12-16T20:10:00Z</cp:lastPrinted>
  <dcterms:created xsi:type="dcterms:W3CDTF">2026-10-07T00:27:00Z</dcterms:created>
  <dcterms:modified xsi:type="dcterms:W3CDTF">2026-10-07T00:27:00Z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