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¿Friedman Tenía Razón sobre Argentina? Curva de Phillips y Estanflación</w:t>
      </w:r>
    </w:p>
    <w:p>
      <w:pPr>
        <w:spacing w:after="360"/>
        <w:jc w:val="center"/>
      </w:pPr>
      <w:r>
        <w:rPr>
          <w:rFonts w:ascii="Calibri" w:hAnsi="Calibri"/>
          <w:color w:val="5A5A5A"/>
          <w:sz w:val="19"/>
        </w:rPr>
        <w:t>📂 Categoría: Temáticos / Conceptuales / Ensayos   |   📝 Longitud: 678 palabras</w:t>
        <w:br/>
      </w:r>
      <w:r>
        <w:rPr>
          <w:rFonts w:ascii="Calibri" w:hAnsi="Calibri"/>
          <w:i/>
          <w:color w:val="6E6E6E"/>
          <w:sz w:val="18"/>
        </w:rPr>
        <w:t>📌 Informe técnico y teórico (678 palabras) sobre las teorías monetarias de Milton Friedman aplicadas a la historia argentina.</w:t>
      </w:r>
    </w:p>
    <w:p>
      <w:pPr>
        <w:spacing w:after="360"/>
        <w:jc w:val="center"/>
      </w:pPr>
      <w:r>
        <w:rPr>
          <w:rFonts w:ascii="Calibri" w:hAnsi="Calibri"/>
          <w:color w:val="C8C8C8"/>
        </w:rPr>
        <w:t>—————————————————————————————————————————————</w:t>
      </w:r>
    </w:p>
    <w:p>
      <w:pPr>
        <w:spacing w:before="280" w:after="80"/>
      </w:pPr>
      <w:r>
        <w:rPr>
          <w:rFonts w:ascii="Calibri" w:hAnsi="Calibri"/>
          <w:b/>
          <w:color w:val="1B365D"/>
          <w:sz w:val="32"/>
        </w:rPr>
        <w:t>INFORME: ¿Friedman tenía razón sobre Argentina?</w:t>
      </w:r>
    </w:p>
    <w:p>
      <w:pPr>
        <w:spacing w:after="120" w:line="276" w:lineRule="auto"/>
      </w:pPr>
      <w:r>
        <w:rPr>
          <w:rFonts w:ascii="Calibri" w:hAnsi="Calibri"/>
          <w:color w:val="1E1E1E"/>
          <w:sz w:val="22"/>
        </w:rPr>
        <w:t>Un análisis de la Curva de Phillips, la Emisión y el Retorno de la Estanflación</w:t>
      </w:r>
    </w:p>
    <w:p>
      <w:pPr>
        <w:spacing w:before="200" w:after="60"/>
      </w:pPr>
      <w:r>
        <w:rPr>
          <w:rFonts w:ascii="Calibri" w:hAnsi="Calibri"/>
          <w:b/>
          <w:color w:val="3C3C3C"/>
          <w:sz w:val="23"/>
        </w:rPr>
        <w:t>0. Prólogo: El factor curiosidad (Inspiración en Hanke)</w:t>
      </w:r>
    </w:p>
    <w:p>
      <w:pPr>
        <w:spacing w:after="120" w:line="276" w:lineRule="auto"/>
      </w:pPr>
      <w:r>
        <w:rPr>
          <w:rFonts w:ascii="Calibri" w:hAnsi="Calibri"/>
          <w:color w:val="1E1E1E"/>
          <w:sz w:val="22"/>
        </w:rPr>
        <w:t>Antes de entrar en los números, quiero aclarar el origen de este estudio. Este análisis no es un paper oficial de una consultora; nació de la pura curiosidad académica y de un ejercicio de 'arquitectura de datos a mano'. Me inspiré profundamente en el trabajo de Steve Hanke para Estados Unidos, quien siempre ha insistido en que la oferta monetaria es el faro que guía la inflación. Me propuse replicar esa agudeza para entender si en el laboratorio económico que es Argentina, las leyes de Milton Friedman siguen vigentes o si somos la excepción que rompe la regla.</w:t>
      </w:r>
    </w:p>
    <w:p>
      <w:pPr>
        <w:spacing w:before="200" w:after="60"/>
      </w:pPr>
      <w:r>
        <w:rPr>
          <w:rFonts w:ascii="Calibri" w:hAnsi="Calibri"/>
          <w:b/>
          <w:color w:val="3C3C3C"/>
          <w:sz w:val="23"/>
        </w:rPr>
        <w:t>1. El Gancho: ¿Es la inflación un mito o una máquina?</w:t>
      </w:r>
    </w:p>
    <w:p>
      <w:pPr>
        <w:spacing w:after="120" w:line="276" w:lineRule="auto"/>
      </w:pPr>
      <w:r>
        <w:rPr>
          <w:rFonts w:ascii="Calibri" w:hAnsi="Calibri"/>
          <w:color w:val="1E1E1E"/>
          <w:sz w:val="22"/>
        </w:rPr>
        <w:t>Vivimos escuchando que la inflación es 'multicausal'. Pero, ¿qué dicen los datos cuando los miramos a la cara? Friedman lanzó una sentencia de muerte para la política monetaria expansiva: "La inflación es, en todo lugar y siempre, un fenómeno monetario".</w:t>
      </w:r>
    </w:p>
    <w:p>
      <w:pPr>
        <w:spacing w:after="120" w:line="276" w:lineRule="auto"/>
      </w:pPr>
      <w:r>
        <w:rPr>
          <w:rFonts w:ascii="Calibri" w:hAnsi="Calibri"/>
          <w:color w:val="1E1E1E"/>
          <w:sz w:val="22"/>
        </w:rPr>
        <w:t>Para comprobarlo, cruzamos la Base Monetaria contra el IPC (2020-2024).</w:t>
      </w:r>
    </w:p>
    <w:p>
      <w:pPr>
        <w:pStyle w:val="ListBullet"/>
        <w:spacing w:after="60" w:line="276" w:lineRule="auto"/>
      </w:pPr>
      <w:r>
        <w:rPr>
          <w:rFonts w:ascii="Calibri" w:hAnsi="Calibri"/>
          <w:sz w:val="22"/>
        </w:rPr>
        <w:t>El resultado: Una correlación del 0.81.</w:t>
      </w:r>
    </w:p>
    <w:p>
      <w:pPr>
        <w:pStyle w:val="ListBullet"/>
        <w:spacing w:after="60" w:line="276" w:lineRule="auto"/>
      </w:pPr>
      <w:r>
        <w:rPr>
          <w:rFonts w:ascii="Calibri" w:hAnsi="Calibri"/>
          <w:sz w:val="22"/>
        </w:rPr>
        <w:t>El giro inesperado: Lo normal es que la emisión tarde 18 meses en pegar en los precios. En Argentina, el rezago es CERO. La sensibilidad social es tan alta que la gente descuenta el futuro en el acto. Friedman no solo tiene razón; en Argentina, su teoría funciona en esteroides.</w:t>
      </w:r>
    </w:p>
    <w:p>
      <w:pPr>
        <w:spacing w:before="200" w:after="60"/>
      </w:pPr>
      <w:r>
        <w:rPr>
          <w:rFonts w:ascii="Calibri" w:hAnsi="Calibri"/>
          <w:b/>
          <w:color w:val="3C3C3C"/>
          <w:sz w:val="23"/>
        </w:rPr>
        <w:t>2. El Nudo: La Curva de Phillips y la Trampa de las Expectativas</w:t>
      </w:r>
    </w:p>
    <w:p>
      <w:pPr>
        <w:spacing w:after="120" w:line="276" w:lineRule="auto"/>
      </w:pPr>
      <w:r>
        <w:rPr>
          <w:rFonts w:ascii="Calibri" w:hAnsi="Calibri"/>
          <w:color w:val="1E1E1E"/>
          <w:sz w:val="22"/>
        </w:rPr>
        <w:t>Aquí es donde nos ponemos técnicos. La Curva de Phillips dice que si aceptas un poco de inflación, puedes bajar el desempleo. Pero Friedman advirtió: eso es solo una ilusión temporal. Una vez que la gente 'aprende' que habrá inflación, la relación se rompe.</w:t>
      </w:r>
    </w:p>
    <w:p>
      <w:pPr>
        <w:spacing w:after="120" w:line="276" w:lineRule="auto"/>
      </w:pPr>
      <w:r>
        <w:rPr>
          <w:rFonts w:ascii="Calibri" w:hAnsi="Calibri"/>
          <w:color w:val="1E1E1E"/>
          <w:sz w:val="22"/>
        </w:rPr>
        <w:t>Al graficar la Curva de Phillips en Argentina, vimos un fenómeno de manual:</w:t>
      </w:r>
    </w:p>
    <w:p>
      <w:pPr>
        <w:pStyle w:val="ListBullet"/>
        <w:spacing w:after="60" w:line="276" w:lineRule="auto"/>
      </w:pPr>
      <w:r>
        <w:rPr>
          <w:rFonts w:ascii="Calibri" w:hAnsi="Calibri"/>
          <w:sz w:val="22"/>
        </w:rPr>
        <w:t>Hasta 2023, parecía haber un intercambio.</w:t>
      </w:r>
    </w:p>
    <w:p>
      <w:pPr>
        <w:pStyle w:val="ListBullet"/>
        <w:spacing w:after="60" w:line="276" w:lineRule="auto"/>
      </w:pPr>
      <w:r>
        <w:rPr>
          <w:rFonts w:ascii="Calibri" w:hAnsi="Calibri"/>
          <w:sz w:val="22"/>
        </w:rPr>
        <w:t>En 2024-Q1, la curva se dio vuelta. Entramos en la zona prohibida: Estanflación.</w:t>
      </w:r>
    </w:p>
    <w:p>
      <w:pPr>
        <w:pStyle w:val="ListBullet"/>
        <w:spacing w:after="60" w:line="276" w:lineRule="auto"/>
      </w:pPr>
      <w:r>
        <w:rPr>
          <w:rFonts w:ascii="Calibri" w:hAnsi="Calibri"/>
          <w:sz w:val="22"/>
        </w:rPr>
        <w:t>La inflación volaba y el desempleo saltó del 5.7% al 7.7%. ¿Por qué? Porque las expectativas se devoraron la realidad. Friedman ganó de nuevo: intentar 'estimular' la economía con emisión solo nos dejó con más pobres y menos trabajo.</w:t>
      </w:r>
    </w:p>
    <w:p>
      <w:pPr>
        <w:spacing w:before="200" w:after="60"/>
      </w:pPr>
      <w:r>
        <w:rPr>
          <w:rFonts w:ascii="Calibri" w:hAnsi="Calibri"/>
          <w:b/>
          <w:color w:val="3C3C3C"/>
          <w:sz w:val="23"/>
        </w:rPr>
        <w:t>3. La Gran Pregunta: ¿Tocamos piso?</w:t>
      </w:r>
    </w:p>
    <w:p>
      <w:pPr>
        <w:spacing w:after="120" w:line="276" w:lineRule="auto"/>
      </w:pPr>
      <w:r>
        <w:rPr>
          <w:rFonts w:ascii="Calibri" w:hAnsi="Calibri"/>
          <w:color w:val="1E1E1E"/>
          <w:sz w:val="22"/>
        </w:rPr>
        <w:t>Para saber si hay luz al final del túnel, analizamos el EMAE (Actividad Económica). Aquí los datos reales nos cuentan una historia de resiliencia:</w:t>
      </w:r>
    </w:p>
    <w:p>
      <w:pPr>
        <w:pStyle w:val="ListBullet"/>
        <w:spacing w:after="60" w:line="276" w:lineRule="auto"/>
      </w:pPr>
      <w:r>
        <w:rPr>
          <w:rFonts w:ascii="Calibri" w:hAnsi="Calibri"/>
          <w:sz w:val="22"/>
        </w:rPr>
        <w:t>Abril de 2024 fue el abismo. El índice tocó los 138.5 puntos.</w:t>
      </w:r>
    </w:p>
    <w:p>
      <w:pPr>
        <w:pStyle w:val="ListBullet"/>
        <w:spacing w:after="60" w:line="276" w:lineRule="auto"/>
      </w:pPr>
      <w:r>
        <w:rPr>
          <w:rFonts w:ascii="Calibri" w:hAnsi="Calibri"/>
          <w:sz w:val="22"/>
        </w:rPr>
        <w:t>Mayo y Junio mostraron un 'vuelo de bautismo' hacia arriba. Con un rebote a 141.2.</w:t>
      </w:r>
    </w:p>
    <w:p>
      <w:pPr>
        <w:spacing w:after="120" w:line="276" w:lineRule="auto"/>
      </w:pPr>
      <w:r>
        <w:rPr>
          <w:rFonts w:ascii="Calibri" w:hAnsi="Calibri"/>
          <w:color w:val="1E1E1E"/>
          <w:sz w:val="22"/>
        </w:rPr>
        <w:t>Veredicto: Sí, la economía ha tocado un piso en el segundo trimestre de 2024. Los datos sugieren que la caída libre terminó. Sin embargo, no es un piso de mármol, es un piso de barro: la recuperación es lenta y frágil.</w:t>
      </w:r>
    </w:p>
    <w:p>
      <w:pPr>
        <w:spacing w:before="200" w:after="60"/>
      </w:pPr>
      <w:r>
        <w:rPr>
          <w:rFonts w:ascii="Calibri" w:hAnsi="Calibri"/>
          <w:b/>
          <w:color w:val="3C3C3C"/>
          <w:sz w:val="23"/>
        </w:rPr>
        <w:t>4. El Futuro del Empleo: ¿Recuperación o espejismo?</w:t>
      </w:r>
    </w:p>
    <w:p>
      <w:pPr>
        <w:spacing w:after="120" w:line="276" w:lineRule="auto"/>
      </w:pPr>
      <w:r>
        <w:rPr>
          <w:rFonts w:ascii="Calibri" w:hAnsi="Calibri"/>
          <w:color w:val="1E1E1E"/>
          <w:sz w:val="22"/>
        </w:rPr>
        <w:t>¿Se recuperará el empleo ahora que la actividad rebota? Aquí es donde el informe se vuelve realista.</w:t>
      </w:r>
    </w:p>
    <w:p>
      <w:pPr>
        <w:spacing w:after="120" w:line="276" w:lineRule="auto"/>
      </w:pPr>
      <w:r>
        <w:rPr>
          <w:rFonts w:ascii="Calibri" w:hAnsi="Calibri"/>
          <w:color w:val="1E1E1E"/>
          <w:sz w:val="22"/>
        </w:rPr>
        <w:t>El empleo es un 'indicador rezagado'. Primero se recupera la máquina, luego se contrata al operario. Según nuestras proyecciones:</w:t>
      </w:r>
    </w:p>
    <w:p>
      <w:pPr>
        <w:pStyle w:val="ListNumber"/>
        <w:spacing w:after="60" w:line="276" w:lineRule="auto"/>
      </w:pPr>
      <w:r>
        <w:rPr>
          <w:rFonts w:ascii="Calibri" w:hAnsi="Calibri"/>
          <w:sz w:val="22"/>
        </w:rPr>
        <w:t>El Salario Real está en el subsuelo (42% del valor de 2020). Sin poder de compra, el consumo no tracciona rápido.</w:t>
      </w:r>
    </w:p>
    <w:p>
      <w:pPr>
        <w:pStyle w:val="ListNumber"/>
        <w:spacing w:after="60" w:line="276" w:lineRule="auto"/>
      </w:pPr>
      <w:r>
        <w:rPr>
          <w:rFonts w:ascii="Calibri" w:hAnsi="Calibri"/>
          <w:sz w:val="22"/>
        </w:rPr>
        <w:t>La recuperación laboral será en forma de 'U', no de 'V'. Veremos una mejora lenta hacia 2025, pero el daño de la estanflación de 2024 tardará al menos 18 meses en sanar.</w:t>
      </w:r>
    </w:p>
    <w:p>
      <w:pPr>
        <w:spacing w:before="200" w:after="60"/>
      </w:pPr>
      <w:r>
        <w:rPr>
          <w:rFonts w:ascii="Calibri" w:hAnsi="Calibri"/>
          <w:b/>
          <w:color w:val="3C3C3C"/>
          <w:sz w:val="23"/>
        </w:rPr>
        <w:t>5. Conclusión: El Triunfo de Friedman</w:t>
      </w:r>
    </w:p>
    <w:p>
      <w:pPr>
        <w:spacing w:after="120" w:line="276" w:lineRule="auto"/>
      </w:pPr>
      <w:r>
        <w:rPr>
          <w:rFonts w:ascii="Calibri" w:hAnsi="Calibri"/>
          <w:color w:val="1E1E1E"/>
          <w:sz w:val="22"/>
        </w:rPr>
        <w:t>¿Tiene razón Friedman? Totalmente. Argentina es la prueba viviente de que no se puede engañar a los agentes económicos para siempre con papel moneda.</w:t>
      </w:r>
    </w:p>
    <w:p>
      <w:pPr>
        <w:spacing w:after="120" w:line="276" w:lineRule="auto"/>
      </w:pPr>
      <w:r>
        <w:rPr>
          <w:rFonts w:ascii="Calibri" w:hAnsi="Calibri"/>
          <w:color w:val="1E1E1E"/>
          <w:sz w:val="22"/>
        </w:rPr>
        <w:t>Conclusión final:</w:t>
      </w:r>
    </w:p>
    <w:p>
      <w:pPr>
        <w:pStyle w:val="ListBullet"/>
        <w:spacing w:after="60" w:line="276" w:lineRule="auto"/>
      </w:pPr>
      <w:r>
        <w:rPr>
          <w:rFonts w:ascii="Calibri" w:hAnsi="Calibri"/>
          <w:sz w:val="22"/>
        </w:rPr>
        <w:t>Friedman: Validado. La inflación monetaria y la ruptura de la Curva de Phillips por expectativas son realidades matemáticas aquí.</w:t>
      </w:r>
    </w:p>
    <w:p>
      <w:pPr>
        <w:pStyle w:val="ListBullet"/>
        <w:spacing w:after="60" w:line="276" w:lineRule="auto"/>
      </w:pPr>
      <w:r>
        <w:rPr>
          <w:rFonts w:ascii="Calibri" w:hAnsi="Calibri"/>
          <w:sz w:val="22"/>
        </w:rPr>
        <w:t>El Piso: Confirmado en abril/mayo 2024.</w:t>
      </w:r>
    </w:p>
    <w:p>
      <w:pPr>
        <w:pStyle w:val="ListBullet"/>
        <w:spacing w:after="60" w:line="276" w:lineRule="auto"/>
      </w:pPr>
      <w:r>
        <w:rPr>
          <w:rFonts w:ascii="Calibri" w:hAnsi="Calibri"/>
          <w:sz w:val="22"/>
        </w:rPr>
        <w:t>El Empleo: Iniciará una recuperación, pero será dolorosamente lenta debido a la destrucción previa del salario real.</w:t>
      </w:r>
    </w:p>
    <w:p>
      <w:pPr>
        <w:spacing w:after="120" w:line="276" w:lineRule="auto"/>
      </w:pPr>
      <w:r>
        <w:rPr>
          <w:rFonts w:ascii="Calibri" w:hAnsi="Calibri"/>
          <w:color w:val="1E1E1E"/>
          <w:sz w:val="22"/>
        </w:rPr>
        <w:t>Este ejercicio, nacido de la curiosidad y el Excel, nos deja una lección: en economía, puedes ignorar la realidad, pero no puedes ignorar las consecuencias de ignorar la realidad.</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TEMÁTICOS / CONCEPTUALES / ENSAYOS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