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Georgia" w:cs="Georgia" w:eastAsia="Georgia" w:hAnsi="Georgia"/>
          <w:b/>
          <w:bCs/>
          <w:sz w:val="32"/>
          <w:szCs w:val="32"/>
        </w:rPr>
        <w:t xml:space="preserve">RÈGLEMENT INTÉRIEUR</w:t>
      </w:r>
    </w:p>
    <w:p>
      <w:pPr>
        <w:spacing w:after="120" w:line="300"/>
        <w:jc w:val="center"/>
      </w:pPr>
      <w:r>
        <w:rPr>
          <w:rFonts w:ascii="Georgia" w:cs="Georgia" w:eastAsia="Georgia" w:hAnsi="Georgia"/>
          <w:b w:val="false"/>
          <w:bCs w:val="false"/>
          <w:color w:val="777777"/>
          <w:sz w:val="20"/>
          <w:szCs w:val="20"/>
        </w:rPr>
        <w:t xml:space="preserve">adopté par l'assemblée générale ordinaire du 17 janvier 2026</w:t>
      </w:r>
    </w:p>
    <w:p>
      <w:pPr>
        <w:spacing w:after="100" w:before="240"/>
      </w:pPr>
      <w:r>
        <w:rPr>
          <w:rFonts w:ascii="Arial" w:cs="Arial" w:eastAsia="Arial" w:hAnsi="Arial"/>
          <w:b/>
          <w:bCs/>
          <w:color w:val="0B7A53"/>
          <w:sz w:val="23"/>
          <w:szCs w:val="23"/>
        </w:rPr>
        <w:t xml:space="preserve">Article 1 — Objet</w:t>
      </w:r>
    </w:p>
    <w:p>
      <w:pPr>
        <w:spacing w:after="120" w:line="300"/>
        <w:jc w:val="both"/>
      </w:pPr>
      <w:r>
        <w:rPr>
          <w:rFonts w:ascii="Georgia" w:cs="Georgia" w:eastAsia="Georgia" w:hAnsi="Georgia"/>
          <w:b w:val="false"/>
          <w:bCs w:val="false"/>
          <w:sz w:val="22"/>
          <w:szCs w:val="22"/>
        </w:rPr>
        <w:t xml:space="preserve">Le présent règlement intérieur précise les modalités d'application des statuts du REFEM. Il s'impose à toutes les membres.</w:t>
      </w:r>
    </w:p>
    <w:p>
      <w:pPr>
        <w:spacing w:after="100" w:before="240"/>
      </w:pPr>
      <w:r>
        <w:rPr>
          <w:rFonts w:ascii="Arial" w:cs="Arial" w:eastAsia="Arial" w:hAnsi="Arial"/>
          <w:b/>
          <w:bCs/>
          <w:color w:val="0B7A53"/>
          <w:sz w:val="23"/>
          <w:szCs w:val="23"/>
        </w:rPr>
        <w:t xml:space="preserve">Article 2 — Adhésion</w:t>
      </w:r>
    </w:p>
    <w:p>
      <w:pPr>
        <w:spacing w:after="120" w:line="300"/>
        <w:jc w:val="both"/>
      </w:pPr>
      <w:r>
        <w:rPr>
          <w:rFonts w:ascii="Georgia" w:cs="Georgia" w:eastAsia="Georgia" w:hAnsi="Georgia"/>
          <w:b w:val="false"/>
          <w:bCs w:val="false"/>
          <w:sz w:val="22"/>
          <w:szCs w:val="22"/>
        </w:rPr>
        <w:t xml:space="preserve">Toute demande d'adhésion est adressée au bureau exécutif, accompagnée d'une pièce d'identité et d'une photo. L'adhésion devient effective après validation par le bureau et paiement du droit d'adhésion de 100 000 GNF.</w:t>
      </w:r>
    </w:p>
    <w:p>
      <w:pPr>
        <w:spacing w:after="100" w:before="240"/>
      </w:pPr>
      <w:r>
        <w:rPr>
          <w:rFonts w:ascii="Arial" w:cs="Arial" w:eastAsia="Arial" w:hAnsi="Arial"/>
          <w:b/>
          <w:bCs/>
          <w:color w:val="0B7A53"/>
          <w:sz w:val="23"/>
          <w:szCs w:val="23"/>
        </w:rPr>
        <w:t xml:space="preserve">Article 3 — Cotisations</w:t>
      </w:r>
    </w:p>
    <w:p>
      <w:pPr>
        <w:spacing w:after="120" w:line="300"/>
        <w:jc w:val="both"/>
      </w:pPr>
      <w:r>
        <w:rPr>
          <w:rFonts w:ascii="Georgia" w:cs="Georgia" w:eastAsia="Georgia" w:hAnsi="Georgia"/>
          <w:b w:val="false"/>
          <w:bCs w:val="false"/>
          <w:sz w:val="22"/>
          <w:szCs w:val="22"/>
        </w:rPr>
        <w:t xml:space="preserve">La cotisation mensuelle de 50 000 GNF est payable avant le 10 de chaque mois, selon l'un des moyens suivants :</w:t>
      </w:r>
    </w:p>
    <w:p>
      <w:pPr>
        <w:pStyle w:val="ListParagraph"/>
        <w:numPr>
          <w:ilvl w:val="0"/>
          <w:numId w:val="2"/>
        </w:numPr>
        <w:spacing w:after="80"/>
      </w:pPr>
      <w:r>
        <w:rPr>
          <w:rFonts w:ascii="Georgia" w:cs="Georgia" w:eastAsia="Georgia" w:hAnsi="Georgia"/>
          <w:sz w:val="22"/>
          <w:szCs w:val="22"/>
        </w:rPr>
        <w:t xml:space="preserve">en espèces, auprès de la trésorière, contre remise d'un reçu de caisse numéroté ;</w:t>
      </w:r>
    </w:p>
    <w:p>
      <w:pPr>
        <w:pStyle w:val="ListParagraph"/>
        <w:numPr>
          <w:ilvl w:val="0"/>
          <w:numId w:val="2"/>
        </w:numPr>
        <w:spacing w:after="80"/>
      </w:pPr>
      <w:r>
        <w:rPr>
          <w:rFonts w:ascii="Georgia" w:cs="Georgia" w:eastAsia="Georgia" w:hAnsi="Georgia"/>
          <w:sz w:val="22"/>
          <w:szCs w:val="22"/>
        </w:rPr>
        <w:t xml:space="preserve">par Orange Money ou MTN MoMo, au numéro de la trésorerie de l'association ;</w:t>
      </w:r>
    </w:p>
    <w:p>
      <w:pPr>
        <w:pStyle w:val="ListParagraph"/>
        <w:numPr>
          <w:ilvl w:val="0"/>
          <w:numId w:val="2"/>
        </w:numPr>
        <w:spacing w:after="80"/>
      </w:pPr>
      <w:r>
        <w:rPr>
          <w:rFonts w:ascii="Georgia" w:cs="Georgia" w:eastAsia="Georgia" w:hAnsi="Georgia"/>
          <w:sz w:val="22"/>
          <w:szCs w:val="22"/>
        </w:rPr>
        <w:t xml:space="preserve">par PayCard ou Soutra Money.</w:t>
      </w:r>
    </w:p>
    <w:p>
      <w:pPr>
        <w:spacing w:after="120" w:line="300"/>
        <w:jc w:val="both"/>
      </w:pPr>
      <w:r>
        <w:rPr>
          <w:rFonts w:ascii="Georgia" w:cs="Georgia" w:eastAsia="Georgia" w:hAnsi="Georgia"/>
          <w:b w:val="false"/>
          <w:bCs w:val="false"/>
          <w:sz w:val="22"/>
          <w:szCs w:val="22"/>
        </w:rPr>
        <w:t xml:space="preserve">Pour tout paiement électronique, la membre conserve le message de confirmation, qui vaut justificatif. Chaque paiement est enregistré dans la plateforme de gestion de l'association.</w:t>
      </w:r>
    </w:p>
    <w:p>
      <w:pPr>
        <w:spacing w:after="100" w:before="240"/>
      </w:pPr>
      <w:r>
        <w:rPr>
          <w:rFonts w:ascii="Arial" w:cs="Arial" w:eastAsia="Arial" w:hAnsi="Arial"/>
          <w:b/>
          <w:bCs/>
          <w:color w:val="0B7A53"/>
          <w:sz w:val="23"/>
          <w:szCs w:val="23"/>
        </w:rPr>
        <w:t xml:space="preserve">Article 4 — Retards de paiement</w:t>
      </w:r>
    </w:p>
    <w:p>
      <w:pPr>
        <w:spacing w:after="120" w:line="300"/>
        <w:jc w:val="both"/>
      </w:pPr>
      <w:r>
        <w:rPr>
          <w:rFonts w:ascii="Georgia" w:cs="Georgia" w:eastAsia="Georgia" w:hAnsi="Georgia"/>
          <w:b w:val="false"/>
          <w:bCs w:val="false"/>
          <w:sz w:val="22"/>
          <w:szCs w:val="22"/>
        </w:rPr>
        <w:t xml:space="preserve">Une membre en retard de deux mois reçoit un rappel de la trésorière. Au-delà de trois mois, elle perd le droit de vote en assemblée générale et l'accès au fonds de crédit rotatif. Au-delà de six mois, le bureau peut prononcer son exclusion conformément à l'article 8 des statuts.</w:t>
      </w:r>
    </w:p>
    <w:p>
      <w:pPr>
        <w:spacing w:after="100" w:before="240"/>
      </w:pPr>
      <w:r>
        <w:rPr>
          <w:rFonts w:ascii="Arial" w:cs="Arial" w:eastAsia="Arial" w:hAnsi="Arial"/>
          <w:b/>
          <w:bCs/>
          <w:color w:val="0B7A53"/>
          <w:sz w:val="23"/>
          <w:szCs w:val="23"/>
        </w:rPr>
        <w:t xml:space="preserve">Article 5 — Réunions</w:t>
      </w:r>
    </w:p>
    <w:p>
      <w:pPr>
        <w:spacing w:after="120" w:line="300"/>
        <w:jc w:val="both"/>
      </w:pPr>
      <w:r>
        <w:rPr>
          <w:rFonts w:ascii="Georgia" w:cs="Georgia" w:eastAsia="Georgia" w:hAnsi="Georgia"/>
          <w:b w:val="false"/>
          <w:bCs w:val="false"/>
          <w:sz w:val="22"/>
          <w:szCs w:val="22"/>
        </w:rPr>
        <w:t xml:space="preserve">Le bureau se réunit le deuxième samedi de chaque mois à 10 heures. Les membres y sont invitées. Toute absence non justifiée à trois réunions consécutives fait l'objet d'un rappel écrit. Le procès-verbal de chaque réunion est rédigé par la secrétaire générale, signé par la présidente et archivé dans l'espace documentaire de l'association.</w:t>
      </w:r>
    </w:p>
    <w:p>
      <w:pPr>
        <w:spacing w:after="100" w:before="240"/>
      </w:pPr>
      <w:r>
        <w:rPr>
          <w:rFonts w:ascii="Arial" w:cs="Arial" w:eastAsia="Arial" w:hAnsi="Arial"/>
          <w:b/>
          <w:bCs/>
          <w:color w:val="0B7A53"/>
          <w:sz w:val="23"/>
          <w:szCs w:val="23"/>
        </w:rPr>
        <w:t xml:space="preserve">Article 6 — Fonds de crédit rotatif</w:t>
      </w:r>
    </w:p>
    <w:p>
      <w:pPr>
        <w:spacing w:after="120" w:line="300"/>
        <w:jc w:val="both"/>
      </w:pPr>
      <w:r>
        <w:rPr>
          <w:rFonts w:ascii="Georgia" w:cs="Georgia" w:eastAsia="Georgia" w:hAnsi="Georgia"/>
          <w:b w:val="false"/>
          <w:bCs w:val="false"/>
          <w:sz w:val="22"/>
          <w:szCs w:val="22"/>
        </w:rPr>
        <w:t xml:space="preserve">Les modalités de fonctionnement du fonds de crédit rotatif, adopté lors de la réunion extraordinaire du 25 avril 2026, font l'objet d'une annexe au présent règlement.</w:t>
      </w:r>
    </w:p>
    <w:p>
      <w:pPr>
        <w:spacing w:after="100" w:before="240"/>
      </w:pPr>
      <w:r>
        <w:rPr>
          <w:rFonts w:ascii="Arial" w:cs="Arial" w:eastAsia="Arial" w:hAnsi="Arial"/>
          <w:b/>
          <w:bCs/>
          <w:color w:val="0B7A53"/>
          <w:sz w:val="23"/>
          <w:szCs w:val="23"/>
        </w:rPr>
        <w:t xml:space="preserve">Article 7 — Discipline</w:t>
      </w:r>
    </w:p>
    <w:p>
      <w:pPr>
        <w:spacing w:after="120" w:line="300"/>
        <w:jc w:val="both"/>
      </w:pPr>
      <w:r>
        <w:rPr>
          <w:rFonts w:ascii="Georgia" w:cs="Georgia" w:eastAsia="Georgia" w:hAnsi="Georgia"/>
          <w:b w:val="false"/>
          <w:bCs w:val="false"/>
          <w:sz w:val="22"/>
          <w:szCs w:val="22"/>
        </w:rPr>
        <w:t xml:space="preserve">Les membres s'engagent au respect mutuel, à la confidentialité des débats et à la solidarité. Tout manquement grave peut entraîner un avertissement, une suspension ou une exclusion, prononcés par le bureau après audition de l'intéressée.</w:t>
      </w:r>
    </w:p>
    <w:p>
      <w:pPr>
        <w:spacing w:after="100" w:before="240"/>
      </w:pPr>
      <w:r>
        <w:rPr>
          <w:rFonts w:ascii="Arial" w:cs="Arial" w:eastAsia="Arial" w:hAnsi="Arial"/>
          <w:b/>
          <w:bCs/>
          <w:color w:val="0B7A53"/>
          <w:sz w:val="23"/>
          <w:szCs w:val="23"/>
        </w:rPr>
        <w:t xml:space="preserve">Article 8 — Modification</w:t>
      </w:r>
    </w:p>
    <w:p>
      <w:pPr>
        <w:spacing w:after="120" w:line="300"/>
        <w:jc w:val="both"/>
      </w:pPr>
      <w:r>
        <w:rPr>
          <w:rFonts w:ascii="Georgia" w:cs="Georgia" w:eastAsia="Georgia" w:hAnsi="Georgia"/>
          <w:b w:val="false"/>
          <w:bCs w:val="false"/>
          <w:sz w:val="22"/>
          <w:szCs w:val="22"/>
        </w:rPr>
        <w:t xml:space="preserve">Le présent règlement peut être modifié par l'assemblée générale sur proposition du bureau.</w:t>
      </w:r>
    </w:p>
    <w:p>
      <w:pPr>
        <w:spacing w:after="120" w:line="300"/>
        <w:jc w:val="both"/>
      </w:pPr>
      <w:r>
        <w:rPr>
          <w:rFonts w:ascii="Georgia" w:cs="Georgia" w:eastAsia="Georgia" w:hAnsi="Georgia"/>
          <w:b w:val="false"/>
          <w:bCs w:val="false"/>
          <w:sz w:val="22"/>
          <w:szCs w:val="22"/>
        </w:rPr>
        <w:t xml:space="preserve"/>
      </w:r>
    </w:p>
    <w:p>
      <w:pPr>
        <w:spacing w:after="120" w:line="300"/>
        <w:jc w:val="both"/>
      </w:pPr>
      <w:r>
        <w:rPr>
          <w:rFonts w:ascii="Georgia" w:cs="Georgia" w:eastAsia="Georgia" w:hAnsi="Georgia"/>
          <w:b w:val="false"/>
          <w:bCs w:val="false"/>
          <w:sz w:val="22"/>
          <w:szCs w:val="22"/>
        </w:rPr>
        <w:t xml:space="preserve">Fait à Conakry, le 17 janvier 2026.</w:t>
      </w:r>
    </w:p>
    <w:p>
      <w:pPr>
        <w:spacing w:after="120" w:line="300"/>
        <w:jc w:val="both"/>
      </w:pPr>
      <w:r>
        <w:rPr>
          <w:rFonts w:ascii="Georgia" w:cs="Georgia" w:eastAsia="Georgia" w:hAnsi="Georgia"/>
          <w:b/>
          <w:bCs/>
          <w:sz w:val="22"/>
          <w:szCs w:val="22"/>
        </w:rPr>
        <w:t xml:space="preserve">La Présidente, Mariama Diallo</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Document fictif — données de démonstration AssoHub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B7A53"/>
        <w:sz w:val="20"/>
        <w:szCs w:val="20"/>
      </w:rPr>
      <w:t xml:space="preserve">RÉSEAU DES FEMMES ENTREPRENEURES DE MATOTO (REFEM)</w:t>
    </w:r>
  </w:p>
  <w:p>
    <w:pPr>
      <w:pBdr>
        <w:bottom w:val="single" w:color="0B7A53" w:sz="8" w:space="4"/>
      </w:pBdr>
    </w:pPr>
    <w:r>
      <w:rPr>
        <w:rFonts w:ascii="Arial" w:cs="Arial" w:eastAsia="Arial" w:hAnsi="Arial"/>
        <w:color w:val="777777"/>
        <w:sz w:val="16"/>
        <w:szCs w:val="16"/>
      </w:rPr>
      <w:t xml:space="preserve">Quartier Dabondy, Commune de Matoto, Conakry — refem.matoto@exemple.gn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2026-09-23T14:52:02.957Z</dcterms:created>
  <dcterms:modified xsi:type="dcterms:W3CDTF">2026-09-23T14:52:02.967Z</dcterms:modified>
</cp:coreProperties>
</file>

<file path=docProps/custom.xml><?xml version="1.0" encoding="utf-8"?>
<Properties xmlns="http://schemas.openxmlformats.org/officeDocument/2006/custom-properties" xmlns:vt="http://schemas.openxmlformats.org/officeDocument/2006/docPropsVTypes"/>
</file>