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jc w:val="center"/>
      </w:pPr>
      <w:r>
        <w:rPr>
          <w:rFonts w:ascii="Calibri" w:eastAsia="SimHei"/>
          <w:b/>
          <w:bCs/>
          <w:color w:val="5B8DB8"/>
          <w:sz w:val="72"/>
          <w:szCs w:val="72"/>
        </w:rPr>
        <w:t xml:space="preserve">RVectrA</w:t>
      </w:r>
    </w:p>
    <w:p>
      <w:pPr>
        <w:spacing w:before="400"/>
        <w:jc w:val="center"/>
      </w:pPr>
      <w:r>
        <w:rPr>
          <w:rFonts w:ascii="Calibri" w:eastAsia="SimHei"/>
          <w:color w:val="0A1628"/>
          <w:sz w:val="36"/>
          <w:szCs w:val="36"/>
        </w:rPr>
        <w:t xml:space="preserve">Цифровой двойник электрической сети</w:t>
      </w:r>
    </w:p>
    <w:p>
      <w:pPr>
        <w:spacing w:before="800"/>
        <w:jc w:val="center"/>
      </w:pPr>
      <w:r>
        <w:rPr>
          <w:rFonts w:ascii="Calibri" w:eastAsia="Microsoft YaHei"/>
          <w:color w:val="6878A0"/>
          <w:sz w:val="28"/>
          <w:szCs w:val="28"/>
        </w:rPr>
        <w:t xml:space="preserve">Полная техническая документация</w:t>
      </w:r>
    </w:p>
    <w:p>
      <w:pPr>
        <w:spacing w:before="4000"/>
      </w:pPr>
    </w:p>
    <w:p>
      <w:pPr>
        <w:jc w:val="center"/>
      </w:pPr>
      <w:r>
        <w:rPr>
          <w:rFonts w:ascii="Calibri" w:eastAsia="Microsoft YaHei"/>
          <w:color w:val="6878A0"/>
          <w:sz w:val="24"/>
          <w:szCs w:val="24"/>
        </w:rPr>
        <w:t xml:space="preserve">Версия 1.0</w:t>
      </w:r>
    </w:p>
    <w:p>
      <w:pPr>
        <w:spacing w:before="200"/>
        <w:jc w:val="center"/>
      </w:pPr>
      <w:r>
        <w:rPr>
          <w:rFonts w:ascii="Calibri" w:eastAsia="Microsoft YaHei"/>
          <w:color w:val="6878A0"/>
          <w:sz w:val="24"/>
          <w:szCs w:val="24"/>
        </w:rPr>
        <w:t xml:space="preserve">2026</w:t>
      </w:r>
    </w:p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Heading1"/>
        <w:spacing w:after="180" w:before="360"/>
      </w:pPr>
      <w:bookmarkStart w:id="100000" w:name="_Toc100000"/>
      <w:r>
        <w:rPr>
          <w:rFonts w:ascii="Calibri" w:eastAsia="SimHei"/>
          <w:b/>
          <w:bCs/>
          <w:color w:val="0A1628"/>
          <w:sz w:val="32"/>
          <w:szCs w:val="32"/>
        </w:rPr>
        <w:t xml:space="preserve">Содержание</w:t>
      </w:r>
      <w:bookmarkEnd w:id="100000"/>
    </w:p>
    <w:sdt>
      <w:sdtPr>
        <w:alias w:val="[object Object]"/>
      </w:sdtPr>
      <w:sdtContent>
        <w:p>
          <w:r>
            <w:fldChar w:fldCharType="begin" w:dirty="true"/>
          </w:r>
          <w:r>
            <w:instrText xml:space="preserve">TOC</w:instrText>
          </w:r>
          <w:r>
            <w:fldChar w:fldCharType="separate"/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0" w:history="1">
            <w:r>
              <w:rPr>
                <w:rStyle w:val="Hyperlink"/>
              </w:rPr>
              <w:t>Содержание</w:t>
            </w:r>
            <w:r>
              <w:tab/>
            </w:r>
            <w:r>
              <w:fldChar w:fldCharType="begin"/>
            </w:r>
            <w:r>
              <w:instrText xml:space="preserve"> PAGEREF _Toc100000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1" w:history="1">
            <w:r>
              <w:rPr>
                <w:rStyle w:val="Hyperlink"/>
              </w:rPr>
              <w:t>1. Введение</w:t>
            </w:r>
            <w:r>
              <w:tab/>
            </w:r>
            <w:r>
              <w:fldChar w:fldCharType="begin"/>
            </w:r>
            <w:r>
              <w:instrText xml:space="preserve"> PAGEREF _Toc100001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2" w:history="1">
            <w:r>
              <w:rPr>
                <w:rStyle w:val="Hyperlink"/>
              </w:rPr>
              <w:t>1.1 Описание проекта</w:t>
            </w:r>
            <w:r>
              <w:tab/>
            </w:r>
            <w:r>
              <w:fldChar w:fldCharType="begin"/>
            </w:r>
            <w:r>
              <w:instrText xml:space="preserve"> PAGEREF _Toc100002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3" w:history="1">
            <w:r>
              <w:rPr>
                <w:rStyle w:val="Hyperlink"/>
              </w:rPr>
              <w:t>1.2 Технологический стек</w:t>
            </w:r>
            <w:r>
              <w:tab/>
            </w:r>
            <w:r>
              <w:fldChar w:fldCharType="begin"/>
            </w:r>
            <w:r>
              <w:instrText xml:space="preserve"> PAGEREF _Toc100003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4" w:history="1">
            <w:r>
              <w:rPr>
                <w:rStyle w:val="Hyperlink"/>
              </w:rPr>
              <w:t>2. Установка и запуск</w:t>
            </w:r>
            <w:r>
              <w:tab/>
            </w:r>
            <w:r>
              <w:fldChar w:fldCharType="begin"/>
            </w:r>
            <w:r>
              <w:instrText xml:space="preserve"> PAGEREF _Toc100004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5" w:history="1">
            <w:r>
              <w:rPr>
                <w:rStyle w:val="Hyperlink"/>
              </w:rPr>
              <w:t>2.1 Системные требования</w:t>
            </w:r>
            <w:r>
              <w:tab/>
            </w:r>
            <w:r>
              <w:fldChar w:fldCharType="begin"/>
            </w:r>
            <w:r>
              <w:instrText xml:space="preserve"> PAGEREF _Toc100005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6" w:history="1">
            <w:r>
              <w:rPr>
                <w:rStyle w:val="Hyperlink"/>
              </w:rPr>
              <w:t>2.2 Установка зависимостей</w:t>
            </w:r>
            <w:r>
              <w:tab/>
            </w:r>
            <w:r>
              <w:fldChar w:fldCharType="begin"/>
            </w:r>
            <w:r>
              <w:instrText xml:space="preserve"> PAGEREF _Toc100006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7" w:history="1">
            <w:r>
              <w:rPr>
                <w:rStyle w:val="Hyperlink"/>
              </w:rPr>
              <w:t>2.3 Инициализация базы данных</w:t>
            </w:r>
            <w:r>
              <w:tab/>
            </w:r>
            <w:r>
              <w:fldChar w:fldCharType="begin"/>
            </w:r>
            <w:r>
              <w:instrText xml:space="preserve"> PAGEREF _Toc100007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8" w:history="1">
            <w:r>
              <w:rPr>
                <w:rStyle w:val="Hyperlink"/>
              </w:rPr>
              <w:t>2.4 Запуск в режиме разработки</w:t>
            </w:r>
            <w:r>
              <w:tab/>
            </w:r>
            <w:r>
              <w:fldChar w:fldCharType="begin"/>
            </w:r>
            <w:r>
              <w:instrText xml:space="preserve"> PAGEREF _Toc100008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9" w:history="1">
            <w:r>
              <w:rPr>
                <w:rStyle w:val="Hyperlink"/>
              </w:rPr>
              <w:t>3. Структура проекта</w:t>
            </w:r>
            <w:r>
              <w:tab/>
            </w:r>
            <w:r>
              <w:fldChar w:fldCharType="begin"/>
            </w:r>
            <w:r>
              <w:instrText xml:space="preserve"> PAGEREF _Toc100009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0" w:history="1">
            <w:r>
              <w:rPr>
                <w:rStyle w:val="Hyperlink"/>
              </w:rPr>
              <w:t>4. База данных</w:t>
            </w:r>
            <w:r>
              <w:tab/>
            </w:r>
            <w:r>
              <w:fldChar w:fldCharType="begin"/>
            </w:r>
            <w:r>
              <w:instrText xml:space="preserve"> PAGEREF _Toc100010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1" w:history="1">
            <w:r>
              <w:rPr>
                <w:rStyle w:val="Hyperlink"/>
              </w:rPr>
              <w:t>4.1 Схема базы данных</w:t>
            </w:r>
            <w:r>
              <w:tab/>
            </w:r>
            <w:r>
              <w:fldChar w:fldCharType="begin"/>
            </w:r>
            <w:r>
              <w:instrText xml:space="preserve"> PAGEREF _Toc100011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12" w:history="1">
            <w:r>
              <w:rPr>
                <w:rStyle w:val="Hyperlink"/>
              </w:rPr>
              <w:t>Element (Элемент сети)</w:t>
            </w:r>
            <w:r>
              <w:tab/>
            </w:r>
            <w:r>
              <w:fldChar w:fldCharType="begin"/>
            </w:r>
            <w:r>
              <w:instrText xml:space="preserve"> PAGEREF _Toc100012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13" w:history="1">
            <w:r>
              <w:rPr>
                <w:rStyle w:val="Hyperlink"/>
              </w:rPr>
              <w:t>Device (Устройство)</w:t>
            </w:r>
            <w:r>
              <w:tab/>
            </w:r>
            <w:r>
              <w:fldChar w:fldCharType="begin"/>
            </w:r>
            <w:r>
              <w:instrText xml:space="preserve"> PAGEREF _Toc100013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14" w:history="1">
            <w:r>
              <w:rPr>
                <w:rStyle w:val="Hyperlink"/>
              </w:rPr>
              <w:t>Connection (Связь)</w:t>
            </w:r>
            <w:r>
              <w:tab/>
            </w:r>
            <w:r>
              <w:fldChar w:fldCharType="begin"/>
            </w:r>
            <w:r>
              <w:instrText xml:space="preserve"> PAGEREF _Toc100014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15" w:history="1">
            <w:r>
              <w:rPr>
                <w:rStyle w:val="Hyperlink"/>
              </w:rPr>
              <w:t>ValidationResult (Результат валидации)</w:t>
            </w:r>
            <w:r>
              <w:tab/>
            </w:r>
            <w:r>
              <w:fldChar w:fldCharType="begin"/>
            </w:r>
            <w:r>
              <w:instrText xml:space="preserve"> PAGEREF _Toc100015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6" w:history="1">
            <w:r>
              <w:rPr>
                <w:rStyle w:val="Hyperlink"/>
              </w:rPr>
              <w:t>5. API интерфейс</w:t>
            </w:r>
            <w:r>
              <w:tab/>
            </w:r>
            <w:r>
              <w:fldChar w:fldCharType="begin"/>
            </w:r>
            <w:r>
              <w:instrText xml:space="preserve"> PAGEREF _Toc100016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7" w:history="1">
            <w:r>
              <w:rPr>
                <w:rStyle w:val="Hyperlink"/>
              </w:rPr>
              <w:t>5.1 Получение данных сети</w:t>
            </w:r>
            <w:r>
              <w:tab/>
            </w:r>
            <w:r>
              <w:fldChar w:fldCharType="begin"/>
            </w:r>
            <w:r>
              <w:instrText xml:space="preserve"> PAGEREF _Toc100017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8" w:history="1">
            <w:r>
              <w:rPr>
                <w:rStyle w:val="Hyperlink"/>
              </w:rPr>
              <w:t>5.2 Импорт данных</w:t>
            </w:r>
            <w:r>
              <w:tab/>
            </w:r>
            <w:r>
              <w:fldChar w:fldCharType="begin"/>
            </w:r>
            <w:r>
              <w:instrText xml:space="preserve"> PAGEREF _Toc100018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9" w:history="1">
            <w:r>
              <w:rPr>
                <w:rStyle w:val="Hyperlink"/>
              </w:rPr>
              <w:t>5.3 Валидация</w:t>
            </w:r>
            <w:r>
              <w:tab/>
            </w:r>
            <w:r>
              <w:fldChar w:fldCharType="begin"/>
            </w:r>
            <w:r>
              <w:instrText xml:space="preserve"> PAGEREF _Toc100019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0" w:history="1">
            <w:r>
              <w:rPr>
                <w:rStyle w:val="Hyperlink"/>
              </w:rPr>
              <w:t>6. Основные компоненты</w:t>
            </w:r>
            <w:r>
              <w:tab/>
            </w:r>
            <w:r>
              <w:fldChar w:fldCharType="begin"/>
            </w:r>
            <w:r>
              <w:instrText xml:space="preserve"> PAGEREF _Toc100020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1" w:history="1">
            <w:r>
              <w:rPr>
                <w:rStyle w:val="Hyperlink"/>
              </w:rPr>
              <w:t>6.1 NetworkGraph</w:t>
            </w:r>
            <w:r>
              <w:tab/>
            </w:r>
            <w:r>
              <w:fldChar w:fldCharType="begin"/>
            </w:r>
            <w:r>
              <w:instrText xml:space="preserve"> PAGEREF _Toc100021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2" w:history="1">
            <w:r>
              <w:rPr>
                <w:rStyle w:val="Hyperlink"/>
              </w:rPr>
              <w:t>6.2 ElementDetails</w:t>
            </w:r>
            <w:r>
              <w:tab/>
            </w:r>
            <w:r>
              <w:fldChar w:fldCharType="begin"/>
            </w:r>
            <w:r>
              <w:instrText xml:space="preserve"> PAGEREF _Toc100022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3" w:history="1">
            <w:r>
              <w:rPr>
                <w:rStyle w:val="Hyperlink"/>
              </w:rPr>
              <w:t>6.3 ValidationPanel</w:t>
            </w:r>
            <w:r>
              <w:tab/>
            </w:r>
            <w:r>
              <w:fldChar w:fldCharType="begin"/>
            </w:r>
            <w:r>
              <w:instrText xml:space="preserve"> PAGEREF _Toc100023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4" w:history="1">
            <w:r>
              <w:rPr>
                <w:rStyle w:val="Hyperlink"/>
              </w:rPr>
              <w:t>7. Сервисы и расчёты</w:t>
            </w:r>
            <w:r>
              <w:tab/>
            </w:r>
            <w:r>
              <w:fldChar w:fldCharType="begin"/>
            </w:r>
            <w:r>
              <w:instrText xml:space="preserve"> PAGEREF _Toc100024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5" w:history="1">
            <w:r>
              <w:rPr>
                <w:rStyle w:val="Hyperlink"/>
              </w:rPr>
              <w:t>7.1 Import Service</w:t>
            </w:r>
            <w:r>
              <w:tab/>
            </w:r>
            <w:r>
              <w:fldChar w:fldCharType="begin"/>
            </w:r>
            <w:r>
              <w:instrText xml:space="preserve"> PAGEREF _Toc100025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6" w:history="1">
            <w:r>
              <w:rPr>
                <w:rStyle w:val="Hyperlink"/>
              </w:rPr>
              <w:t>7.2 Validation Service</w:t>
            </w:r>
            <w:r>
              <w:tab/>
            </w:r>
            <w:r>
              <w:fldChar w:fldCharType="begin"/>
            </w:r>
            <w:r>
              <w:instrText xml:space="preserve"> PAGEREF _Toc100026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7" w:history="1">
            <w:r>
              <w:rPr>
                <w:rStyle w:val="Hyperlink"/>
              </w:rPr>
              <w:t>7.3 Расчёт сопротивлений</w:t>
            </w:r>
            <w:r>
              <w:tab/>
            </w:r>
            <w:r>
              <w:fldChar w:fldCharType="begin"/>
            </w:r>
            <w:r>
              <w:instrText xml:space="preserve"> PAGEREF _Toc100027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8" w:history="1">
            <w:r>
              <w:rPr>
                <w:rStyle w:val="Hyperlink"/>
              </w:rPr>
              <w:t>7.4 Расчёт токов КЗ</w:t>
            </w:r>
            <w:r>
              <w:tab/>
            </w:r>
            <w:r>
              <w:fldChar w:fldCharType="begin"/>
            </w:r>
            <w:r>
              <w:instrText xml:space="preserve"> PAGEREF _Toc100028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9" w:history="1">
            <w:r>
              <w:rPr>
                <w:rStyle w:val="Hyperlink"/>
              </w:rPr>
              <w:t>7.5 Расчёт потерь напряжения</w:t>
            </w:r>
            <w:r>
              <w:tab/>
            </w:r>
            <w:r>
              <w:fldChar w:fldCharType="begin"/>
            </w:r>
            <w:r>
              <w:instrText xml:space="preserve"> PAGEREF _Toc100029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30" w:history="1">
            <w:r>
              <w:rPr>
                <w:rStyle w:val="Hyperlink"/>
              </w:rPr>
              <w:t>8. Типы элементов сети</w:t>
            </w:r>
            <w:r>
              <w:tab/>
            </w:r>
            <w:r>
              <w:fldChar w:fldCharType="begin"/>
            </w:r>
            <w:r>
              <w:instrText xml:space="preserve"> PAGEREF _Toc100030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31" w:history="1">
            <w:r>
              <w:rPr>
                <w:rStyle w:val="Hyperlink"/>
              </w:rPr>
              <w:t>9. Заключение</w:t>
            </w:r>
            <w:r>
              <w:tab/>
            </w:r>
            <w:r>
              <w:fldChar w:fldCharType="begin"/>
            </w:r>
            <w:r>
              <w:instrText xml:space="preserve"> PAGEREF _Toc100031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80" w:before="360"/>
      </w:pPr>
      <w:bookmarkStart w:id="100001" w:name="_Toc100001"/>
      <w:r>
        <w:rPr>
          <w:rFonts w:ascii="Calibri" w:eastAsia="SimHei"/>
          <w:b/>
          <w:bCs/>
          <w:color w:val="0A1628"/>
          <w:sz w:val="32"/>
          <w:szCs w:val="32"/>
        </w:rPr>
        <w:t xml:space="preserve">1. Введение</w:t>
      </w:r>
      <w:bookmarkEnd w:id="100001"/>
    </w:p>
    <w:p>
      <w:pPr>
        <w:pStyle w:val="Heading2"/>
        <w:spacing w:after="140" w:before="280"/>
      </w:pPr>
      <w:bookmarkStart w:id="100002" w:name="_Toc100002"/>
      <w:r>
        <w:rPr>
          <w:rFonts w:ascii="Calibri" w:eastAsia="SimHei"/>
          <w:b/>
          <w:bCs/>
          <w:color w:val="0A1628"/>
          <w:sz w:val="28"/>
          <w:szCs w:val="28"/>
        </w:rPr>
        <w:t xml:space="preserve">1.1 Описание проекта</w:t>
      </w:r>
      <w:bookmarkEnd w:id="100002"/>
    </w:p>
    <w:p>
      <w:pPr>
        <w:spacing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RVectrA (цифровой двойник электрической сети) - это веб-приложение для визуализации, анализа и проверки электрических сетей. Система позволяет импортировать данные из Excel-файлов, строить интерактивные мнемосхемы сети и проводить автоматическую валидацию параметров сети согласно техническим нормативам.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Основные возможности системы включают построение графической схемы сети на основе импортированных данных, расчёт токов короткого замыкания и потерь напряжения, проверку соответствия выключателей и кабелей, а также анализ селективности защит. Система поддерживает работу с различными типами элементов: источники питания, шкафы, выключатели, нагрузки, счётчики и шины.</w:t>
      </w:r>
    </w:p>
    <w:p>
      <w:pPr>
        <w:pStyle w:val="Heading2"/>
        <w:spacing w:after="140" w:before="280"/>
      </w:pPr>
      <w:bookmarkStart w:id="100003" w:name="_Toc100003"/>
      <w:r>
        <w:rPr>
          <w:rFonts w:ascii="Calibri" w:eastAsia="SimHei"/>
          <w:b/>
          <w:bCs/>
          <w:color w:val="0A1628"/>
          <w:sz w:val="28"/>
          <w:szCs w:val="28"/>
        </w:rPr>
        <w:t xml:space="preserve">1.2 Технологический стек</w:t>
      </w:r>
      <w:bookmarkEnd w:id="100003"/>
    </w:p>
    <w:p>
      <w:pPr>
        <w:spacing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Проект разработан с использованием современных веб-технологий, обеспечивающих высокую производительность и надёжность:</w:t>
      </w:r>
    </w:p>
    <w:p>
      <w:pPr>
        <w:spacing w:line="312"/>
        <w:ind w:left="480"/>
      </w:pPr>
      <w:r>
        <w:rPr>
          <w:rFonts w:ascii="Calibri" w:eastAsia="Microsoft YaHei"/>
          <w:sz w:val="24"/>
          <w:szCs w:val="24"/>
        </w:rPr>
        <w:t xml:space="preserve">• </w:t>
      </w:r>
      <w:r>
        <w:rPr>
          <w:rFonts w:ascii="Calibri" w:eastAsia="Microsoft YaHei"/>
          <w:color w:val="1A2B40"/>
          <w:sz w:val="24"/>
          <w:szCs w:val="24"/>
        </w:rPr>
        <w:t xml:space="preserve">Next.js 16.2.1 - фреймворк для разработки веб-приложений с серверным рендерингом</w:t>
      </w:r>
    </w:p>
    <w:p>
      <w:pPr>
        <w:spacing w:line="312"/>
        <w:ind w:left="480"/>
      </w:pPr>
      <w:r>
        <w:rPr>
          <w:rFonts w:ascii="Calibri" w:eastAsia="Microsoft YaHei"/>
          <w:sz w:val="24"/>
          <w:szCs w:val="24"/>
        </w:rPr>
        <w:t xml:space="preserve">• </w:t>
      </w:r>
      <w:r>
        <w:rPr>
          <w:rFonts w:ascii="Calibri" w:eastAsia="Microsoft YaHei"/>
          <w:color w:val="1A2B40"/>
          <w:sz w:val="24"/>
          <w:szCs w:val="24"/>
        </w:rPr>
        <w:t xml:space="preserve">React 19 - библиотека для построения пользовательского интерфейса</w:t>
      </w:r>
    </w:p>
    <w:p>
      <w:pPr>
        <w:spacing w:line="312"/>
        <w:ind w:left="480"/>
      </w:pPr>
      <w:r>
        <w:rPr>
          <w:rFonts w:ascii="Calibri" w:eastAsia="Microsoft YaHei"/>
          <w:sz w:val="24"/>
          <w:szCs w:val="24"/>
        </w:rPr>
        <w:t xml:space="preserve">• </w:t>
      </w:r>
      <w:r>
        <w:rPr>
          <w:rFonts w:ascii="Calibri" w:eastAsia="Microsoft YaHei"/>
          <w:color w:val="1A2B40"/>
          <w:sz w:val="24"/>
          <w:szCs w:val="24"/>
        </w:rPr>
        <w:t xml:space="preserve">Prisma 6 - ORM для работы с базой данных</w:t>
      </w:r>
    </w:p>
    <w:p>
      <w:pPr>
        <w:spacing w:line="312"/>
        <w:ind w:left="480"/>
      </w:pPr>
      <w:r>
        <w:rPr>
          <w:rFonts w:ascii="Calibri" w:eastAsia="Microsoft YaHei"/>
          <w:sz w:val="24"/>
          <w:szCs w:val="24"/>
        </w:rPr>
        <w:t xml:space="preserve">• </w:t>
      </w:r>
      <w:r>
        <w:rPr>
          <w:rFonts w:ascii="Calibri" w:eastAsia="Microsoft YaHei"/>
          <w:color w:val="1A2B40"/>
          <w:sz w:val="24"/>
          <w:szCs w:val="24"/>
        </w:rPr>
        <w:t xml:space="preserve">SQLite - встроенная база данных</w:t>
      </w:r>
    </w:p>
    <w:p>
      <w:pPr>
        <w:spacing w:line="312"/>
        <w:ind w:left="480"/>
      </w:pPr>
      <w:r>
        <w:rPr>
          <w:rFonts w:ascii="Calibri" w:eastAsia="Microsoft YaHei"/>
          <w:sz w:val="24"/>
          <w:szCs w:val="24"/>
        </w:rPr>
        <w:t xml:space="preserve">• </w:t>
      </w:r>
      <w:r>
        <w:rPr>
          <w:rFonts w:ascii="Calibri" w:eastAsia="Microsoft YaHei"/>
          <w:color w:val="1A2B40"/>
          <w:sz w:val="24"/>
          <w:szCs w:val="24"/>
        </w:rPr>
        <w:t xml:space="preserve">Tailwind CSS 4 - утилитарный CSS-фреймворк</w:t>
      </w:r>
    </w:p>
    <w:p>
      <w:pPr>
        <w:spacing w:line="312"/>
        <w:ind w:left="480"/>
      </w:pPr>
      <w:r>
        <w:rPr>
          <w:rFonts w:ascii="Calibri" w:eastAsia="Microsoft YaHei"/>
          <w:sz w:val="24"/>
          <w:szCs w:val="24"/>
        </w:rPr>
        <w:t xml:space="preserve">• </w:t>
      </w:r>
      <w:r>
        <w:rPr>
          <w:rFonts w:ascii="Calibri" w:eastAsia="Microsoft YaHei"/>
          <w:color w:val="1A2B40"/>
          <w:sz w:val="24"/>
          <w:szCs w:val="24"/>
        </w:rPr>
        <w:t xml:space="preserve">shadcn/ui - компоненты пользовательского интерфейса</w:t>
      </w:r>
    </w:p>
    <w:p>
      <w:pPr>
        <w:spacing w:line="312"/>
        <w:ind w:left="480"/>
      </w:pPr>
      <w:r>
        <w:rPr>
          <w:rFonts w:ascii="Calibri" w:eastAsia="Microsoft YaHei"/>
          <w:sz w:val="24"/>
          <w:szCs w:val="24"/>
        </w:rPr>
        <w:t xml:space="preserve">• </w:t>
      </w:r>
      <w:r>
        <w:rPr>
          <w:rFonts w:ascii="Calibri" w:eastAsia="Microsoft YaHei"/>
          <w:color w:val="1A2B40"/>
          <w:sz w:val="24"/>
          <w:szCs w:val="24"/>
        </w:rPr>
        <w:t xml:space="preserve">XLSX - библиотека для работы с Excel-файлами</w:t>
      </w:r>
    </w:p>
    <w:p>
      <w:pPr>
        <w:spacing w:line="312"/>
        <w:ind w:left="480"/>
      </w:pPr>
      <w:r>
        <w:rPr>
          <w:rFonts w:ascii="Calibri" w:eastAsia="Microsoft YaHei"/>
          <w:sz w:val="24"/>
          <w:szCs w:val="24"/>
        </w:rPr>
        <w:t xml:space="preserve">• </w:t>
      </w:r>
      <w:r>
        <w:rPr>
          <w:rFonts w:ascii="Calibri" w:eastAsia="Microsoft YaHei"/>
          <w:color w:val="1A2B40"/>
          <w:sz w:val="24"/>
          <w:szCs w:val="24"/>
        </w:rPr>
        <w:t xml:space="preserve">TypeScript 5 - типизированный JavaScript</w:t>
      </w:r>
    </w:p>
    <w:p>
      <w:pPr>
        <w:spacing w:before="200"/>
      </w:pPr>
    </w:p>
    <w:p>
      <w:pPr>
        <w:pStyle w:val="Heading1"/>
        <w:spacing w:after="180" w:before="360"/>
      </w:pPr>
      <w:bookmarkStart w:id="100004" w:name="_Toc100004"/>
      <w:r>
        <w:rPr>
          <w:rFonts w:ascii="Calibri" w:eastAsia="SimHei"/>
          <w:b/>
          <w:bCs/>
          <w:color w:val="0A1628"/>
          <w:sz w:val="32"/>
          <w:szCs w:val="32"/>
        </w:rPr>
        <w:t xml:space="preserve">2. Установка и запуск</w:t>
      </w:r>
      <w:bookmarkEnd w:id="100004"/>
    </w:p>
    <w:p>
      <w:pPr>
        <w:pStyle w:val="Heading2"/>
        <w:spacing w:after="140" w:before="280"/>
      </w:pPr>
      <w:bookmarkStart w:id="100005" w:name="_Toc100005"/>
      <w:r>
        <w:rPr>
          <w:rFonts w:ascii="Calibri" w:eastAsia="SimHei"/>
          <w:b/>
          <w:bCs/>
          <w:color w:val="0A1628"/>
          <w:sz w:val="28"/>
          <w:szCs w:val="28"/>
        </w:rPr>
        <w:t xml:space="preserve">2.1 Системные требования</w:t>
      </w:r>
      <w:bookmarkEnd w:id="100005"/>
    </w:p>
    <w:p>
      <w:pPr>
        <w:spacing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Для работы проекта необходимо установить следующее программное обеспечение:</w:t>
      </w:r>
    </w:p>
    <w:p>
      <w:pPr>
        <w:spacing w:line="312"/>
        <w:ind w:left="480"/>
      </w:pPr>
      <w:r>
        <w:rPr>
          <w:rFonts w:ascii="Calibri" w:eastAsia="Microsoft YaHei"/>
          <w:sz w:val="24"/>
          <w:szCs w:val="24"/>
        </w:rPr>
        <w:t xml:space="preserve">• </w:t>
      </w:r>
      <w:r>
        <w:rPr>
          <w:rFonts w:ascii="Calibri" w:eastAsia="Microsoft YaHei"/>
          <w:color w:val="1A2B40"/>
          <w:sz w:val="24"/>
          <w:szCs w:val="24"/>
        </w:rPr>
        <w:t xml:space="preserve">Node.js версии 18 или выше</w:t>
      </w:r>
    </w:p>
    <w:p>
      <w:pPr>
        <w:spacing w:line="312"/>
        <w:ind w:left="480"/>
      </w:pPr>
      <w:r>
        <w:rPr>
          <w:rFonts w:ascii="Calibri" w:eastAsia="Microsoft YaHei"/>
          <w:sz w:val="24"/>
          <w:szCs w:val="24"/>
        </w:rPr>
        <w:t xml:space="preserve">• </w:t>
      </w:r>
      <w:r>
        <w:rPr>
          <w:rFonts w:ascii="Calibri" w:eastAsia="Microsoft YaHei"/>
          <w:color w:val="1A2B40"/>
          <w:sz w:val="24"/>
          <w:szCs w:val="24"/>
        </w:rPr>
        <w:t xml:space="preserve">Bun или npm для управления пакетами</w:t>
      </w:r>
    </w:p>
    <w:p>
      <w:pPr>
        <w:spacing w:line="312"/>
        <w:ind w:left="480"/>
      </w:pPr>
      <w:r>
        <w:rPr>
          <w:rFonts w:ascii="Calibri" w:eastAsia="Microsoft YaHei"/>
          <w:sz w:val="24"/>
          <w:szCs w:val="24"/>
        </w:rPr>
        <w:t xml:space="preserve">• </w:t>
      </w:r>
      <w:r>
        <w:rPr>
          <w:rFonts w:ascii="Calibri" w:eastAsia="Microsoft YaHei"/>
          <w:color w:val="1A2B40"/>
          <w:sz w:val="24"/>
          <w:szCs w:val="24"/>
        </w:rPr>
        <w:t xml:space="preserve">Git для клонирования репозитория</w:t>
      </w:r>
    </w:p>
    <w:p>
      <w:pPr>
        <w:spacing w:before="200"/>
      </w:pPr>
    </w:p>
    <w:p>
      <w:pPr>
        <w:pStyle w:val="Heading2"/>
        <w:spacing w:after="140" w:before="280"/>
      </w:pPr>
      <w:bookmarkStart w:id="100006" w:name="_Toc100006"/>
      <w:r>
        <w:rPr>
          <w:rFonts w:ascii="Calibri" w:eastAsia="SimHei"/>
          <w:b/>
          <w:bCs/>
          <w:color w:val="0A1628"/>
          <w:sz w:val="28"/>
          <w:szCs w:val="28"/>
        </w:rPr>
        <w:t xml:space="preserve">2.2 Установка зависимостей</w:t>
      </w:r>
      <w:bookmarkEnd w:id="100006"/>
    </w:p>
    <w:p>
      <w:pPr>
        <w:spacing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После клонирования репозитория выполните установку зависимостей:</w:t>
      </w:r>
    </w:p>
    <w:p>
      <w:pPr>
        <w:shd w:fill="F0F4F8" w:val="clear"/>
        <w:spacing w:after="100" w:before="100"/>
      </w:pPr>
      <w:r>
        <w:rPr>
          <w:rFonts w:ascii="Consolas" w:eastAsia="Consolas"/>
          <w:color w:val="2E4A62"/>
          <w:sz w:val="20"/>
          <w:szCs w:val="20"/>
        </w:rPr>
        <w:t xml:space="preserve">bun install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Или, если используется npm:</w:t>
      </w:r>
    </w:p>
    <w:p>
      <w:pPr>
        <w:shd w:fill="F0F4F8" w:val="clear"/>
        <w:spacing w:after="100" w:before="100"/>
      </w:pPr>
      <w:r>
        <w:rPr>
          <w:rFonts w:ascii="Consolas" w:eastAsia="Consolas"/>
          <w:color w:val="2E4A62"/>
          <w:sz w:val="20"/>
          <w:szCs w:val="20"/>
        </w:rPr>
        <w:t xml:space="preserve">npm install</w:t>
      </w:r>
    </w:p>
    <w:p>
      <w:pPr>
        <w:spacing w:before="200"/>
      </w:pPr>
    </w:p>
    <w:p>
      <w:pPr>
        <w:pStyle w:val="Heading2"/>
        <w:spacing w:after="140" w:before="280"/>
      </w:pPr>
      <w:bookmarkStart w:id="100007" w:name="_Toc100007"/>
      <w:r>
        <w:rPr>
          <w:rFonts w:ascii="Calibri" w:eastAsia="SimHei"/>
          <w:b/>
          <w:bCs/>
          <w:color w:val="0A1628"/>
          <w:sz w:val="28"/>
          <w:szCs w:val="28"/>
        </w:rPr>
        <w:t xml:space="preserve">2.3 Инициализация базы данных</w:t>
      </w:r>
      <w:bookmarkEnd w:id="100007"/>
    </w:p>
    <w:p>
      <w:pPr>
        <w:spacing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Перед первым запуском необходимо инициализировать базу данных Prisma:</w:t>
      </w:r>
    </w:p>
    <w:p>
      <w:pPr>
        <w:shd w:fill="F0F4F8" w:val="clear"/>
        <w:spacing w:after="100" w:before="100"/>
      </w:pPr>
      <w:r>
        <w:rPr>
          <w:rFonts w:ascii="Consolas" w:eastAsia="Consolas"/>
          <w:color w:val="2E4A62"/>
          <w:sz w:val="20"/>
          <w:szCs w:val="20"/>
        </w:rPr>
        <w:t xml:space="preserve">bunx prisma migrate dev</w:t>
      </w:r>
    </w:p>
    <w:p>
      <w:pPr>
        <w:shd w:fill="F0F4F8" w:val="clear"/>
        <w:spacing w:after="100" w:before="100"/>
      </w:pPr>
      <w:r>
        <w:rPr>
          <w:rFonts w:ascii="Consolas" w:eastAsia="Consolas"/>
          <w:color w:val="2E4A62"/>
          <w:sz w:val="20"/>
          <w:szCs w:val="20"/>
        </w:rPr>
        <w:t xml:space="preserve">bunx prisma generate</w:t>
      </w:r>
    </w:p>
    <w:p>
      <w:pPr>
        <w:spacing w:before="200"/>
      </w:pPr>
    </w:p>
    <w:p>
      <w:pPr>
        <w:pStyle w:val="Heading2"/>
        <w:spacing w:after="140" w:before="280"/>
      </w:pPr>
      <w:bookmarkStart w:id="100008" w:name="_Toc100008"/>
      <w:r>
        <w:rPr>
          <w:rFonts w:ascii="Calibri" w:eastAsia="SimHei"/>
          <w:b/>
          <w:bCs/>
          <w:color w:val="0A1628"/>
          <w:sz w:val="28"/>
          <w:szCs w:val="28"/>
        </w:rPr>
        <w:t xml:space="preserve">2.4 Запуск в режиме разработки</w:t>
      </w:r>
      <w:bookmarkEnd w:id="100008"/>
    </w:p>
    <w:p>
      <w:pPr>
        <w:spacing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Для запуска сервера разработки выполните:</w:t>
      </w:r>
    </w:p>
    <w:p>
      <w:pPr>
        <w:shd w:fill="F0F4F8" w:val="clear"/>
        <w:spacing w:after="100" w:before="100"/>
      </w:pPr>
      <w:r>
        <w:rPr>
          <w:rFonts w:ascii="Consolas" w:eastAsia="Consolas"/>
          <w:color w:val="2E4A62"/>
          <w:sz w:val="20"/>
          <w:szCs w:val="20"/>
        </w:rPr>
        <w:t xml:space="preserve">bun run dev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Приложение будет доступно по адресу http://localhost:3000</w:t>
      </w:r>
    </w:p>
    <w:p>
      <w:pPr>
        <w:spacing w:before="200"/>
      </w:pPr>
    </w:p>
    <w:p>
      <w:pPr>
        <w:pStyle w:val="Heading1"/>
        <w:spacing w:after="180" w:before="360"/>
      </w:pPr>
      <w:bookmarkStart w:id="100009" w:name="_Toc100009"/>
      <w:r>
        <w:rPr>
          <w:rFonts w:ascii="Calibri" w:eastAsia="SimHei"/>
          <w:b/>
          <w:bCs/>
          <w:color w:val="0A1628"/>
          <w:sz w:val="32"/>
          <w:szCs w:val="32"/>
        </w:rPr>
        <w:t xml:space="preserve">3. Структура проекта</w:t>
      </w:r>
      <w:bookmarkEnd w:id="100009"/>
    </w:p>
    <w:p>
      <w:pPr>
        <w:spacing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Проект имеет следующую структуру каталогов и файлов: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5B8DB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Путь</w:t>
            </w:r>
          </w:p>
        </w:tc>
        <w:tc>
          <w:tcPr>
            <w:shd w:fill="5B8DB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Описание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2B40"/>
                <w:sz w:val="21"/>
                <w:szCs w:val="21"/>
              </w:rPr>
              <w:t xml:space="preserve">/src/app/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2B40"/>
                <w:sz w:val="21"/>
                <w:szCs w:val="21"/>
              </w:rPr>
              <w:t xml:space="preserve">Основные страницы и API маршруты</w:t>
            </w:r>
          </w:p>
        </w:tc>
      </w:tr>
      <w:tr>
        <w:tc>
          <w:tcPr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2B40"/>
                <w:sz w:val="21"/>
                <w:szCs w:val="21"/>
              </w:rPr>
              <w:t xml:space="preserve">/src/components/</w:t>
            </w:r>
          </w:p>
        </w:tc>
        <w:tc>
          <w:tcPr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2B40"/>
                <w:sz w:val="21"/>
                <w:szCs w:val="21"/>
              </w:rPr>
              <w:t xml:space="preserve">React-компоненты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2B40"/>
                <w:sz w:val="21"/>
                <w:szCs w:val="21"/>
              </w:rPr>
              <w:t xml:space="preserve">/src/lib/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2B40"/>
                <w:sz w:val="21"/>
                <w:szCs w:val="21"/>
              </w:rPr>
              <w:t xml:space="preserve">Библиотеки и утилиты</w:t>
            </w:r>
          </w:p>
        </w:tc>
      </w:tr>
      <w:tr>
        <w:tc>
          <w:tcPr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2B40"/>
                <w:sz w:val="21"/>
                <w:szCs w:val="21"/>
              </w:rPr>
              <w:t xml:space="preserve">/src/types/</w:t>
            </w:r>
          </w:p>
        </w:tc>
        <w:tc>
          <w:tcPr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2B40"/>
                <w:sz w:val="21"/>
                <w:szCs w:val="21"/>
              </w:rPr>
              <w:t xml:space="preserve">TypeScript типы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2B40"/>
                <w:sz w:val="21"/>
                <w:szCs w:val="21"/>
              </w:rPr>
              <w:t xml:space="preserve">/src/hooks/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2B40"/>
                <w:sz w:val="21"/>
                <w:szCs w:val="21"/>
              </w:rPr>
              <w:t xml:space="preserve">React хуки</w:t>
            </w:r>
          </w:p>
        </w:tc>
      </w:tr>
      <w:tr>
        <w:tc>
          <w:tcPr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2B40"/>
                <w:sz w:val="21"/>
                <w:szCs w:val="21"/>
              </w:rPr>
              <w:t xml:space="preserve">/prisma/</w:t>
            </w:r>
          </w:p>
        </w:tc>
        <w:tc>
          <w:tcPr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2B40"/>
                <w:sz w:val="21"/>
                <w:szCs w:val="21"/>
              </w:rPr>
              <w:t xml:space="preserve">Схема базы данных и миграции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2B40"/>
                <w:sz w:val="21"/>
                <w:szCs w:val="21"/>
              </w:rPr>
              <w:t xml:space="preserve">/public/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2B40"/>
                <w:sz w:val="21"/>
                <w:szCs w:val="21"/>
              </w:rPr>
              <w:t xml:space="preserve">Статические файлы и изображения</w:t>
            </w:r>
          </w:p>
        </w:tc>
      </w:tr>
      <w:tr>
        <w:tc>
          <w:tcPr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2B40"/>
                <w:sz w:val="21"/>
                <w:szCs w:val="21"/>
              </w:rPr>
              <w:t xml:space="preserve">/upload/</w:t>
            </w:r>
          </w:p>
        </w:tc>
        <w:tc>
          <w:tcPr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2B40"/>
                <w:sz w:val="21"/>
                <w:szCs w:val="21"/>
              </w:rPr>
              <w:t xml:space="preserve">Входные Excel-файлы для импорта</w:t>
            </w:r>
          </w:p>
        </w:tc>
      </w:tr>
    </w:tbl>
    <w:p>
      <w:pPr>
        <w:spacing w:before="200"/>
      </w:pPr>
    </w:p>
    <w:p>
      <w:pPr>
        <w:pStyle w:val="Heading1"/>
        <w:spacing w:after="180" w:before="360"/>
      </w:pPr>
      <w:bookmarkStart w:id="100010" w:name="_Toc100010"/>
      <w:r>
        <w:rPr>
          <w:rFonts w:ascii="Calibri" w:eastAsia="SimHei"/>
          <w:b/>
          <w:bCs/>
          <w:color w:val="0A1628"/>
          <w:sz w:val="32"/>
          <w:szCs w:val="32"/>
        </w:rPr>
        <w:t xml:space="preserve">4. База данных</w:t>
      </w:r>
      <w:bookmarkEnd w:id="100010"/>
    </w:p>
    <w:p>
      <w:pPr>
        <w:pStyle w:val="Heading2"/>
        <w:spacing w:after="140" w:before="280"/>
      </w:pPr>
      <w:bookmarkStart w:id="100011" w:name="_Toc100011"/>
      <w:r>
        <w:rPr>
          <w:rFonts w:ascii="Calibri" w:eastAsia="SimHei"/>
          <w:b/>
          <w:bCs/>
          <w:color w:val="0A1628"/>
          <w:sz w:val="28"/>
          <w:szCs w:val="28"/>
        </w:rPr>
        <w:t xml:space="preserve">4.1 Схема базы данных</w:t>
      </w:r>
      <w:bookmarkEnd w:id="100011"/>
    </w:p>
    <w:p>
      <w:pPr>
        <w:spacing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Проект использует Prisma ORM с SQLite в качестве базы данных. Основные модели данных включают:</w:t>
      </w:r>
    </w:p>
    <w:p>
      <w:pPr>
        <w:pStyle w:val="Heading3"/>
        <w:spacing w:after="100" w:before="200"/>
      </w:pPr>
      <w:bookmarkStart w:id="100012" w:name="_Toc100012"/>
      <w:r>
        <w:rPr>
          <w:rFonts w:ascii="Calibri" w:eastAsia="SimHei"/>
          <w:b/>
          <w:bCs/>
          <w:color w:val="0A1628"/>
          <w:sz w:val="24"/>
          <w:szCs w:val="24"/>
        </w:rPr>
        <w:t xml:space="preserve">Element (Элемент сети)</w:t>
      </w:r>
      <w:bookmarkEnd w:id="100012"/>
    </w:p>
    <w:p>
      <w:pPr>
        <w:spacing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Основная сущность, представляющая узел в графе сети. Содержит информацию о типе элемента, его названии, уровне напряжения и позиции на схеме.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5B8DB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Поле</w:t>
            </w:r>
          </w:p>
        </w:tc>
        <w:tc>
          <w:tcPr>
            <w:shd w:fill="5B8DB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Тип</w:t>
            </w:r>
          </w:p>
        </w:tc>
        <w:tc>
          <w:tcPr>
            <w:shd w:fill="5B8DB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Описание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2B40"/>
                <w:sz w:val="21"/>
                <w:szCs w:val="21"/>
              </w:rPr>
              <w:t xml:space="preserve">id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2B40"/>
                <w:sz w:val="21"/>
                <w:szCs w:val="21"/>
              </w:rPr>
              <w:t xml:space="preserve">String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2B40"/>
                <w:sz w:val="21"/>
                <w:szCs w:val="21"/>
              </w:rPr>
              <w:t xml:space="preserve">Уникальный идентификатор</w:t>
            </w:r>
          </w:p>
        </w:tc>
      </w:tr>
      <w:tr>
        <w:tc>
          <w:tcPr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2B40"/>
                <w:sz w:val="21"/>
                <w:szCs w:val="21"/>
              </w:rPr>
              <w:t xml:space="preserve">elementId</w:t>
            </w:r>
          </w:p>
        </w:tc>
        <w:tc>
          <w:tcPr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2B40"/>
                <w:sz w:val="21"/>
                <w:szCs w:val="21"/>
              </w:rPr>
              <w:t xml:space="preserve">String</w:t>
            </w:r>
          </w:p>
        </w:tc>
        <w:tc>
          <w:tcPr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2B40"/>
                <w:sz w:val="21"/>
                <w:szCs w:val="21"/>
              </w:rPr>
              <w:t xml:space="preserve">Внешний ID элемента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2B40"/>
                <w:sz w:val="21"/>
                <w:szCs w:val="21"/>
              </w:rPr>
              <w:t xml:space="preserve">name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2B40"/>
                <w:sz w:val="21"/>
                <w:szCs w:val="21"/>
              </w:rPr>
              <w:t xml:space="preserve">String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2B40"/>
                <w:sz w:val="21"/>
                <w:szCs w:val="21"/>
              </w:rPr>
              <w:t xml:space="preserve">Название элемента</w:t>
            </w:r>
          </w:p>
        </w:tc>
      </w:tr>
      <w:tr>
        <w:tc>
          <w:tcPr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2B40"/>
                <w:sz w:val="21"/>
                <w:szCs w:val="21"/>
              </w:rPr>
              <w:t xml:space="preserve">type</w:t>
            </w:r>
          </w:p>
        </w:tc>
        <w:tc>
          <w:tcPr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2B40"/>
                <w:sz w:val="21"/>
                <w:szCs w:val="21"/>
              </w:rPr>
              <w:t xml:space="preserve">String</w:t>
            </w:r>
          </w:p>
        </w:tc>
        <w:tc>
          <w:tcPr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2B40"/>
                <w:sz w:val="21"/>
                <w:szCs w:val="21"/>
              </w:rPr>
              <w:t xml:space="preserve">Тип (SOURCE, BREAKER, LOAD и т.д.)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2B40"/>
                <w:sz w:val="21"/>
                <w:szCs w:val="21"/>
              </w:rPr>
              <w:t xml:space="preserve">voltageLevel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2B40"/>
                <w:sz w:val="21"/>
                <w:szCs w:val="21"/>
              </w:rPr>
              <w:t xml:space="preserve">Float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2B40"/>
                <w:sz w:val="21"/>
                <w:szCs w:val="21"/>
              </w:rPr>
              <w:t xml:space="preserve">Уровень напряжения (kV)</w:t>
            </w:r>
          </w:p>
        </w:tc>
      </w:tr>
      <w:tr>
        <w:tc>
          <w:tcPr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2B40"/>
                <w:sz w:val="21"/>
                <w:szCs w:val="21"/>
              </w:rPr>
              <w:t xml:space="preserve">posX, posY</w:t>
            </w:r>
          </w:p>
        </w:tc>
        <w:tc>
          <w:tcPr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2B40"/>
                <w:sz w:val="21"/>
                <w:szCs w:val="21"/>
              </w:rPr>
              <w:t xml:space="preserve">Float</w:t>
            </w:r>
          </w:p>
        </w:tc>
        <w:tc>
          <w:tcPr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2B40"/>
                <w:sz w:val="21"/>
                <w:szCs w:val="21"/>
              </w:rPr>
              <w:t xml:space="preserve">Координаты на схеме</w:t>
            </w:r>
          </w:p>
        </w:tc>
      </w:tr>
    </w:tbl>
    <w:p>
      <w:pPr>
        <w:spacing w:before="200"/>
      </w:pPr>
    </w:p>
    <w:p>
      <w:pPr>
        <w:pStyle w:val="Heading3"/>
        <w:spacing w:after="100" w:before="200"/>
      </w:pPr>
      <w:bookmarkStart w:id="100013" w:name="_Toc100013"/>
      <w:r>
        <w:rPr>
          <w:rFonts w:ascii="Calibri" w:eastAsia="SimHei"/>
          <w:b/>
          <w:bCs/>
          <w:color w:val="0A1628"/>
          <w:sz w:val="24"/>
          <w:szCs w:val="24"/>
        </w:rPr>
        <w:t xml:space="preserve">Device (Устройство)</w:t>
      </w:r>
      <w:bookmarkEnd w:id="100013"/>
    </w:p>
    <w:p>
      <w:pPr>
        <w:spacing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Устройство, установленное в элементе. Содержит технические характеристики: номинальный ток, мощность, коэффициент мощности.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5B8DB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Поле</w:t>
            </w:r>
          </w:p>
        </w:tc>
        <w:tc>
          <w:tcPr>
            <w:shd w:fill="5B8DB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Тип</w:t>
            </w:r>
          </w:p>
        </w:tc>
        <w:tc>
          <w:tcPr>
            <w:shd w:fill="5B8DB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Описание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2B40"/>
                <w:sz w:val="21"/>
                <w:szCs w:val="21"/>
              </w:rPr>
              <w:t xml:space="preserve">id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2B40"/>
                <w:sz w:val="21"/>
                <w:szCs w:val="21"/>
              </w:rPr>
              <w:t xml:space="preserve">String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2B40"/>
                <w:sz w:val="21"/>
                <w:szCs w:val="21"/>
              </w:rPr>
              <w:t xml:space="preserve">Уникальный идентификатор</w:t>
            </w:r>
          </w:p>
        </w:tc>
      </w:tr>
      <w:tr>
        <w:tc>
          <w:tcPr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2B40"/>
                <w:sz w:val="21"/>
                <w:szCs w:val="21"/>
              </w:rPr>
              <w:t xml:space="preserve">type</w:t>
            </w:r>
          </w:p>
        </w:tc>
        <w:tc>
          <w:tcPr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2B40"/>
                <w:sz w:val="21"/>
                <w:szCs w:val="21"/>
              </w:rPr>
              <w:t xml:space="preserve">String</w:t>
            </w:r>
          </w:p>
        </w:tc>
        <w:tc>
          <w:tcPr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2B40"/>
                <w:sz w:val="21"/>
                <w:szCs w:val="21"/>
              </w:rPr>
              <w:t xml:space="preserve">Тип устройства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2B40"/>
                <w:sz w:val="21"/>
                <w:szCs w:val="21"/>
              </w:rPr>
              <w:t xml:space="preserve">model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2B40"/>
                <w:sz w:val="21"/>
                <w:szCs w:val="21"/>
              </w:rPr>
              <w:t xml:space="preserve">String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2B40"/>
                <w:sz w:val="21"/>
                <w:szCs w:val="21"/>
              </w:rPr>
              <w:t xml:space="preserve">Модель устройства</w:t>
            </w:r>
          </w:p>
        </w:tc>
      </w:tr>
      <w:tr>
        <w:tc>
          <w:tcPr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2B40"/>
                <w:sz w:val="21"/>
                <w:szCs w:val="21"/>
              </w:rPr>
              <w:t xml:space="preserve">current_nom</w:t>
            </w:r>
          </w:p>
        </w:tc>
        <w:tc>
          <w:tcPr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2B40"/>
                <w:sz w:val="21"/>
                <w:szCs w:val="21"/>
              </w:rPr>
              <w:t xml:space="preserve">Float</w:t>
            </w:r>
          </w:p>
        </w:tc>
        <w:tc>
          <w:tcPr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2B40"/>
                <w:sz w:val="21"/>
                <w:szCs w:val="21"/>
              </w:rPr>
              <w:t xml:space="preserve">Номинальный ток (A)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2B40"/>
                <w:sz w:val="21"/>
                <w:szCs w:val="21"/>
              </w:rPr>
              <w:t xml:space="preserve">p_kw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2B40"/>
                <w:sz w:val="21"/>
                <w:szCs w:val="21"/>
              </w:rPr>
              <w:t xml:space="preserve">Float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2B40"/>
                <w:sz w:val="21"/>
                <w:szCs w:val="21"/>
              </w:rPr>
              <w:t xml:space="preserve">Активная мощность (kW)</w:t>
            </w:r>
          </w:p>
        </w:tc>
      </w:tr>
      <w:tr>
        <w:tc>
          <w:tcPr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2B40"/>
                <w:sz w:val="21"/>
                <w:szCs w:val="21"/>
              </w:rPr>
              <w:t xml:space="preserve">s_kva</w:t>
            </w:r>
          </w:p>
        </w:tc>
        <w:tc>
          <w:tcPr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2B40"/>
                <w:sz w:val="21"/>
                <w:szCs w:val="21"/>
              </w:rPr>
              <w:t xml:space="preserve">Float</w:t>
            </w:r>
          </w:p>
        </w:tc>
        <w:tc>
          <w:tcPr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2B40"/>
                <w:sz w:val="21"/>
                <w:szCs w:val="21"/>
              </w:rPr>
              <w:t xml:space="preserve">Полная мощность (kVA)</w:t>
            </w:r>
          </w:p>
        </w:tc>
      </w:tr>
    </w:tbl>
    <w:p>
      <w:pPr>
        <w:spacing w:before="200"/>
      </w:pPr>
    </w:p>
    <w:p>
      <w:pPr>
        <w:pStyle w:val="Heading3"/>
        <w:spacing w:after="100" w:before="200"/>
      </w:pPr>
      <w:bookmarkStart w:id="100014" w:name="_Toc100014"/>
      <w:r>
        <w:rPr>
          <w:rFonts w:ascii="Calibri" w:eastAsia="SimHei"/>
          <w:b/>
          <w:bCs/>
          <w:color w:val="0A1628"/>
          <w:sz w:val="24"/>
          <w:szCs w:val="24"/>
        </w:rPr>
        <w:t xml:space="preserve">Connection (Связь)</w:t>
      </w:r>
      <w:bookmarkEnd w:id="100014"/>
    </w:p>
    <w:p>
      <w:pPr>
        <w:spacing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Связь между двумя элементами сети. Содержит информацию о кабеле или шине, соединяющих узлы, включая длину, сечение и сопротивление.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5B8DB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Поле</w:t>
            </w:r>
          </w:p>
        </w:tc>
        <w:tc>
          <w:tcPr>
            <w:shd w:fill="5B8DB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Тип</w:t>
            </w:r>
          </w:p>
        </w:tc>
        <w:tc>
          <w:tcPr>
            <w:shd w:fill="5B8DB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Описание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2B40"/>
                <w:sz w:val="21"/>
                <w:szCs w:val="21"/>
              </w:rPr>
              <w:t xml:space="preserve">id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2B40"/>
                <w:sz w:val="21"/>
                <w:szCs w:val="21"/>
              </w:rPr>
              <w:t xml:space="preserve">String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2B40"/>
                <w:sz w:val="21"/>
                <w:szCs w:val="21"/>
              </w:rPr>
              <w:t xml:space="preserve">Уникальный идентификатор</w:t>
            </w:r>
          </w:p>
        </w:tc>
      </w:tr>
      <w:tr>
        <w:tc>
          <w:tcPr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2B40"/>
                <w:sz w:val="21"/>
                <w:szCs w:val="21"/>
              </w:rPr>
              <w:t xml:space="preserve">from_id</w:t>
            </w:r>
          </w:p>
        </w:tc>
        <w:tc>
          <w:tcPr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2B40"/>
                <w:sz w:val="21"/>
                <w:szCs w:val="21"/>
              </w:rPr>
              <w:t xml:space="preserve">String</w:t>
            </w:r>
          </w:p>
        </w:tc>
        <w:tc>
          <w:tcPr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2B40"/>
                <w:sz w:val="21"/>
                <w:szCs w:val="21"/>
              </w:rPr>
              <w:t xml:space="preserve">ID исходного элемента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2B40"/>
                <w:sz w:val="21"/>
                <w:szCs w:val="21"/>
              </w:rPr>
              <w:t xml:space="preserve">to_id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2B40"/>
                <w:sz w:val="21"/>
                <w:szCs w:val="21"/>
              </w:rPr>
              <w:t xml:space="preserve">String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2B40"/>
                <w:sz w:val="21"/>
                <w:szCs w:val="21"/>
              </w:rPr>
              <w:t xml:space="preserve">ID целевого элемента</w:t>
            </w:r>
          </w:p>
        </w:tc>
      </w:tr>
      <w:tr>
        <w:tc>
          <w:tcPr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2B40"/>
                <w:sz w:val="21"/>
                <w:szCs w:val="21"/>
              </w:rPr>
              <w:t xml:space="preserve">type</w:t>
            </w:r>
          </w:p>
        </w:tc>
        <w:tc>
          <w:tcPr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2B40"/>
                <w:sz w:val="21"/>
                <w:szCs w:val="21"/>
              </w:rPr>
              <w:t xml:space="preserve">String</w:t>
            </w:r>
          </w:p>
        </w:tc>
        <w:tc>
          <w:tcPr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2B40"/>
                <w:sz w:val="21"/>
                <w:szCs w:val="21"/>
              </w:rPr>
              <w:t xml:space="preserve">Тип (CABLE, BUSBAR, JUMPER)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2B40"/>
                <w:sz w:val="21"/>
                <w:szCs w:val="21"/>
              </w:rPr>
              <w:t xml:space="preserve">length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2B40"/>
                <w:sz w:val="21"/>
                <w:szCs w:val="21"/>
              </w:rPr>
              <w:t xml:space="preserve">Float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2B40"/>
                <w:sz w:val="21"/>
                <w:szCs w:val="21"/>
              </w:rPr>
              <w:t xml:space="preserve">Длина кабеля (m)</w:t>
            </w:r>
          </w:p>
        </w:tc>
      </w:tr>
      <w:tr>
        <w:tc>
          <w:tcPr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2B40"/>
                <w:sz w:val="21"/>
                <w:szCs w:val="21"/>
              </w:rPr>
              <w:t xml:space="preserve">wire_type</w:t>
            </w:r>
          </w:p>
        </w:tc>
        <w:tc>
          <w:tcPr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2B40"/>
                <w:sz w:val="21"/>
                <w:szCs w:val="21"/>
              </w:rPr>
              <w:t xml:space="preserve">String</w:t>
            </w:r>
          </w:p>
        </w:tc>
        <w:tc>
          <w:tcPr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2B40"/>
                <w:sz w:val="21"/>
                <w:szCs w:val="21"/>
              </w:rPr>
              <w:t xml:space="preserve">Марка кабеля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2B40"/>
                <w:sz w:val="21"/>
                <w:szCs w:val="21"/>
              </w:rPr>
              <w:t xml:space="preserve">wire_size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2B40"/>
                <w:sz w:val="21"/>
                <w:szCs w:val="21"/>
              </w:rPr>
              <w:t xml:space="preserve">Float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2B40"/>
                <w:sz w:val="21"/>
                <w:szCs w:val="21"/>
              </w:rPr>
              <w:t xml:space="preserve">Сечение (mm2)</w:t>
            </w:r>
          </w:p>
        </w:tc>
      </w:tr>
    </w:tbl>
    <w:p>
      <w:pPr>
        <w:spacing w:before="200"/>
      </w:pPr>
    </w:p>
    <w:p>
      <w:pPr>
        <w:pStyle w:val="Heading3"/>
        <w:spacing w:after="100" w:before="200"/>
      </w:pPr>
      <w:bookmarkStart w:id="100015" w:name="_Toc100015"/>
      <w:r>
        <w:rPr>
          <w:rFonts w:ascii="Calibri" w:eastAsia="SimHei"/>
          <w:b/>
          <w:bCs/>
          <w:color w:val="0A1628"/>
          <w:sz w:val="24"/>
          <w:szCs w:val="24"/>
        </w:rPr>
        <w:t xml:space="preserve">ValidationResult (Результат валидации)</w:t>
      </w:r>
      <w:bookmarkEnd w:id="100015"/>
    </w:p>
    <w:p>
      <w:pPr>
        <w:spacing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Результат проверки правила валидации. Содержит статус, сообщение об ошибке и рекомендацию по исправлению.</w:t>
      </w:r>
    </w:p>
    <w:p>
      <w:pPr>
        <w:spacing w:before="200"/>
      </w:pPr>
    </w:p>
    <w:p>
      <w:pPr>
        <w:pStyle w:val="Heading1"/>
        <w:spacing w:after="180" w:before="360"/>
      </w:pPr>
      <w:bookmarkStart w:id="100016" w:name="_Toc100016"/>
      <w:r>
        <w:rPr>
          <w:rFonts w:ascii="Calibri" w:eastAsia="SimHei"/>
          <w:b/>
          <w:bCs/>
          <w:color w:val="0A1628"/>
          <w:sz w:val="32"/>
          <w:szCs w:val="32"/>
        </w:rPr>
        <w:t xml:space="preserve">5. API интерфейс</w:t>
      </w:r>
      <w:bookmarkEnd w:id="100016"/>
    </w:p>
    <w:p>
      <w:pPr>
        <w:pStyle w:val="Heading2"/>
        <w:spacing w:after="140" w:before="280"/>
      </w:pPr>
      <w:bookmarkStart w:id="100017" w:name="_Toc100017"/>
      <w:r>
        <w:rPr>
          <w:rFonts w:ascii="Calibri" w:eastAsia="SimHei"/>
          <w:b/>
          <w:bCs/>
          <w:color w:val="0A1628"/>
          <w:sz w:val="28"/>
          <w:szCs w:val="28"/>
        </w:rPr>
        <w:t xml:space="preserve">5.1 Получение данных сети</w:t>
      </w:r>
      <w:bookmarkEnd w:id="100017"/>
    </w:p>
    <w:p>
      <w:pPr>
        <w:spacing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GET /api/network - возвращает полный граф сети в формате { nodes, edges }. Каждый узел содержит информацию об устройствах и результатах валидации.</w:t>
      </w:r>
    </w:p>
    <w:p>
      <w:pPr>
        <w:pStyle w:val="Heading2"/>
        <w:spacing w:after="140" w:before="280"/>
      </w:pPr>
      <w:bookmarkStart w:id="100018" w:name="_Toc100018"/>
      <w:r>
        <w:rPr>
          <w:rFonts w:ascii="Calibri" w:eastAsia="SimHei"/>
          <w:b/>
          <w:bCs/>
          <w:color w:val="0A1628"/>
          <w:sz w:val="28"/>
          <w:szCs w:val="28"/>
        </w:rPr>
        <w:t xml:space="preserve">5.2 Импорт данных</w:t>
      </w:r>
      <w:bookmarkEnd w:id="100018"/>
    </w:p>
    <w:p>
      <w:pPr>
        <w:spacing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POST /api/import - запускает процесс импорта данных из Excel-файла. Читает файл /upload/input.xlsx и заполняет базу данных элементами, устройствами и связями.</w:t>
      </w:r>
    </w:p>
    <w:p>
      <w:pPr>
        <w:pStyle w:val="Heading2"/>
        <w:spacing w:after="140" w:before="280"/>
      </w:pPr>
      <w:bookmarkStart w:id="100019" w:name="_Toc100019"/>
      <w:r>
        <w:rPr>
          <w:rFonts w:ascii="Calibri" w:eastAsia="SimHei"/>
          <w:b/>
          <w:bCs/>
          <w:color w:val="0A1628"/>
          <w:sz w:val="28"/>
          <w:szCs w:val="28"/>
        </w:rPr>
        <w:t xml:space="preserve">5.3 Валидация</w:t>
      </w:r>
      <w:bookmarkEnd w:id="100019"/>
    </w:p>
    <w:p>
      <w:pPr>
        <w:spacing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GET /api/validation - возвращает список найденных проблем.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POST /api/validation - запускает процесс валидации сети.</w:t>
      </w:r>
    </w:p>
    <w:p>
      <w:pPr>
        <w:spacing w:before="200"/>
      </w:pPr>
    </w:p>
    <w:p>
      <w:pPr>
        <w:pStyle w:val="Heading1"/>
        <w:spacing w:after="180" w:before="360"/>
      </w:pPr>
      <w:bookmarkStart w:id="100020" w:name="_Toc100020"/>
      <w:r>
        <w:rPr>
          <w:rFonts w:ascii="Calibri" w:eastAsia="SimHei"/>
          <w:b/>
          <w:bCs/>
          <w:color w:val="0A1628"/>
          <w:sz w:val="32"/>
          <w:szCs w:val="32"/>
        </w:rPr>
        <w:t xml:space="preserve">6. Основные компоненты</w:t>
      </w:r>
      <w:bookmarkEnd w:id="100020"/>
    </w:p>
    <w:p>
      <w:pPr>
        <w:pStyle w:val="Heading2"/>
        <w:spacing w:after="140" w:before="280"/>
      </w:pPr>
      <w:bookmarkStart w:id="100021" w:name="_Toc100021"/>
      <w:r>
        <w:rPr>
          <w:rFonts w:ascii="Calibri" w:eastAsia="SimHei"/>
          <w:b/>
          <w:bCs/>
          <w:color w:val="0A1628"/>
          <w:sz w:val="28"/>
          <w:szCs w:val="28"/>
        </w:rPr>
        <w:t xml:space="preserve">6.1 NetworkGraph</w:t>
      </w:r>
      <w:bookmarkEnd w:id="100021"/>
    </w:p>
    <w:p>
      <w:pPr>
        <w:spacing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Главный компонент для визуализации схемы сети. Использует SVG для рендеринга графа с поддержкой масштабирования, панорамирования и интерактивного выбора узлов. Реализует автоматический лэйаут с трёхуровневой иерархией: Top Level (до первой шины), Distribution Level (от шины до нагрузок), Consumer Level (конечные потребители).</w:t>
      </w:r>
    </w:p>
    <w:p>
      <w:pPr>
        <w:pStyle w:val="Heading2"/>
        <w:spacing w:after="140" w:before="280"/>
      </w:pPr>
      <w:bookmarkStart w:id="100022" w:name="_Toc100022"/>
      <w:r>
        <w:rPr>
          <w:rFonts w:ascii="Calibri" w:eastAsia="SimHei"/>
          <w:b/>
          <w:bCs/>
          <w:color w:val="0A1628"/>
          <w:sz w:val="28"/>
          <w:szCs w:val="28"/>
        </w:rPr>
        <w:t xml:space="preserve">6.2 ElementDetails</w:t>
      </w:r>
      <w:bookmarkEnd w:id="100022"/>
    </w:p>
    <w:p>
      <w:pPr>
        <w:spacing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Панель для отображения подробной информации об выбранном элементе или связи. Показывает технические характеристики, статус и результаты валидации.</w:t>
      </w:r>
    </w:p>
    <w:p>
      <w:pPr>
        <w:pStyle w:val="Heading2"/>
        <w:spacing w:after="140" w:before="280"/>
      </w:pPr>
      <w:bookmarkStart w:id="100023" w:name="_Toc100023"/>
      <w:r>
        <w:rPr>
          <w:rFonts w:ascii="Calibri" w:eastAsia="SimHei"/>
          <w:b/>
          <w:bCs/>
          <w:color w:val="0A1628"/>
          <w:sz w:val="28"/>
          <w:szCs w:val="28"/>
        </w:rPr>
        <w:t xml:space="preserve">6.3 ValidationPanel</w:t>
      </w:r>
      <w:bookmarkEnd w:id="100023"/>
    </w:p>
    <w:p>
      <w:pPr>
        <w:spacing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Панель со списком проблем валидации. Отображает критичные ошибки, предупреждения и рекомендации по исправлению.</w:t>
      </w:r>
    </w:p>
    <w:p>
      <w:pPr>
        <w:spacing w:before="200"/>
      </w:pPr>
    </w:p>
    <w:p>
      <w:pPr>
        <w:pStyle w:val="Heading1"/>
        <w:spacing w:after="180" w:before="360"/>
      </w:pPr>
      <w:bookmarkStart w:id="100024" w:name="_Toc100024"/>
      <w:r>
        <w:rPr>
          <w:rFonts w:ascii="Calibri" w:eastAsia="SimHei"/>
          <w:b/>
          <w:bCs/>
          <w:color w:val="0A1628"/>
          <w:sz w:val="32"/>
          <w:szCs w:val="32"/>
        </w:rPr>
        <w:t xml:space="preserve">7. Сервисы и расчёты</w:t>
      </w:r>
      <w:bookmarkEnd w:id="100024"/>
    </w:p>
    <w:p>
      <w:pPr>
        <w:pStyle w:val="Heading2"/>
        <w:spacing w:after="140" w:before="280"/>
      </w:pPr>
      <w:bookmarkStart w:id="100025" w:name="_Toc100025"/>
      <w:r>
        <w:rPr>
          <w:rFonts w:ascii="Calibri" w:eastAsia="SimHei"/>
          <w:b/>
          <w:bCs/>
          <w:color w:val="0A1628"/>
          <w:sz w:val="28"/>
          <w:szCs w:val="28"/>
        </w:rPr>
        <w:t xml:space="preserve">7.1 Import Service</w:t>
      </w:r>
      <w:bookmarkEnd w:id="100025"/>
    </w:p>
    <w:p>
      <w:pPr>
        <w:spacing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Сервис импорта данных (import.service.ts) обеспечивает чтение Excel-файлов и загрузку данных в базу. Поддерживает различные форматы листов: Networkall (основная топология), Sources (источники), Loads (нагрузки), Breakers (выключатели), Connections (связи).</w:t>
      </w:r>
    </w:p>
    <w:p>
      <w:pPr>
        <w:pStyle w:val="Heading2"/>
        <w:spacing w:after="140" w:before="280"/>
      </w:pPr>
      <w:bookmarkStart w:id="100026" w:name="_Toc100026"/>
      <w:r>
        <w:rPr>
          <w:rFonts w:ascii="Calibri" w:eastAsia="SimHei"/>
          <w:b/>
          <w:bCs/>
          <w:color w:val="0A1628"/>
          <w:sz w:val="28"/>
          <w:szCs w:val="28"/>
        </w:rPr>
        <w:t xml:space="preserve">7.2 Validation Service</w:t>
      </w:r>
      <w:bookmarkEnd w:id="100026"/>
    </w:p>
    <w:p>
      <w:pPr>
        <w:spacing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Сервис валидации (validation.service.ts) выполняет проверку сети по следующим правилам:</w:t>
      </w:r>
    </w:p>
    <w:p>
      <w:pPr>
        <w:spacing w:line="312"/>
        <w:ind w:left="480"/>
      </w:pPr>
      <w:r>
        <w:rPr>
          <w:rFonts w:ascii="Calibri" w:eastAsia="Microsoft YaHei"/>
          <w:sz w:val="24"/>
          <w:szCs w:val="24"/>
        </w:rPr>
        <w:t xml:space="preserve">• </w:t>
      </w:r>
      <w:r>
        <w:rPr>
          <w:rFonts w:ascii="Calibri" w:eastAsia="Microsoft YaHei"/>
          <w:color w:val="1A2B40"/>
          <w:sz w:val="24"/>
          <w:szCs w:val="24"/>
        </w:rPr>
        <w:t xml:space="preserve">CABLE_001: Соответствие тока выключателя и допустимого тока кабеля</w:t>
      </w:r>
    </w:p>
    <w:p>
      <w:pPr>
        <w:spacing w:line="312"/>
        <w:ind w:left="480"/>
      </w:pPr>
      <w:r>
        <w:rPr>
          <w:rFonts w:ascii="Calibri" w:eastAsia="Microsoft YaHei"/>
          <w:sz w:val="24"/>
          <w:szCs w:val="24"/>
        </w:rPr>
        <w:t xml:space="preserve">• </w:t>
      </w:r>
      <w:r>
        <w:rPr>
          <w:rFonts w:ascii="Calibri" w:eastAsia="Microsoft YaHei"/>
          <w:color w:val="1A2B40"/>
          <w:sz w:val="24"/>
          <w:szCs w:val="24"/>
        </w:rPr>
        <w:t xml:space="preserve">VOLTAGE_001: Проверка потерь напряжения (не более 4%)</w:t>
      </w:r>
    </w:p>
    <w:p>
      <w:pPr>
        <w:spacing w:line="312"/>
        <w:ind w:left="480"/>
      </w:pPr>
      <w:r>
        <w:rPr>
          <w:rFonts w:ascii="Calibri" w:eastAsia="Microsoft YaHei"/>
          <w:sz w:val="24"/>
          <w:szCs w:val="24"/>
        </w:rPr>
        <w:t xml:space="preserve">• </w:t>
      </w:r>
      <w:r>
        <w:rPr>
          <w:rFonts w:ascii="Calibri" w:eastAsia="Microsoft YaHei"/>
          <w:color w:val="1A2B40"/>
          <w:sz w:val="24"/>
          <w:szCs w:val="24"/>
        </w:rPr>
        <w:t xml:space="preserve">PROT_001: Чувствительность защиты (Iкз &gt;= 3 x Iном)</w:t>
      </w:r>
    </w:p>
    <w:p>
      <w:pPr>
        <w:spacing w:line="312"/>
        <w:ind w:left="480"/>
      </w:pPr>
      <w:r>
        <w:rPr>
          <w:rFonts w:ascii="Calibri" w:eastAsia="Microsoft YaHei"/>
          <w:sz w:val="24"/>
          <w:szCs w:val="24"/>
        </w:rPr>
        <w:t xml:space="preserve">• </w:t>
      </w:r>
      <w:r>
        <w:rPr>
          <w:rFonts w:ascii="Calibri" w:eastAsia="Microsoft YaHei"/>
          <w:color w:val="1A2B40"/>
          <w:sz w:val="24"/>
          <w:szCs w:val="24"/>
        </w:rPr>
        <w:t xml:space="preserve">SEL_001: Селективность защит</w:t>
      </w:r>
    </w:p>
    <w:p>
      <w:pPr>
        <w:spacing w:before="200"/>
      </w:pPr>
    </w:p>
    <w:p>
      <w:pPr>
        <w:pStyle w:val="Heading2"/>
        <w:spacing w:after="140" w:before="280"/>
      </w:pPr>
      <w:bookmarkStart w:id="100027" w:name="_Toc100027"/>
      <w:r>
        <w:rPr>
          <w:rFonts w:ascii="Calibri" w:eastAsia="SimHei"/>
          <w:b/>
          <w:bCs/>
          <w:color w:val="0A1628"/>
          <w:sz w:val="28"/>
          <w:szCs w:val="28"/>
        </w:rPr>
        <w:t xml:space="preserve">7.3 Расчёт сопротивлений</w:t>
      </w:r>
      <w:bookmarkEnd w:id="100027"/>
    </w:p>
    <w:p>
      <w:pPr>
        <w:spacing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Модуль impedance.ts содержит функции для расчёта активного и реактивного сопротивления кабелей. Использует справочные данные по маркам кабелей для точных расчётов.</w:t>
      </w:r>
    </w:p>
    <w:p>
      <w:pPr>
        <w:pStyle w:val="Heading2"/>
        <w:spacing w:after="140" w:before="280"/>
      </w:pPr>
      <w:bookmarkStart w:id="100028" w:name="_Toc100028"/>
      <w:r>
        <w:rPr>
          <w:rFonts w:ascii="Calibri" w:eastAsia="SimHei"/>
          <w:b/>
          <w:bCs/>
          <w:color w:val="0A1628"/>
          <w:sz w:val="28"/>
          <w:szCs w:val="28"/>
        </w:rPr>
        <w:t xml:space="preserve">7.4 Расчёт токов КЗ</w:t>
      </w:r>
      <w:bookmarkEnd w:id="100028"/>
    </w:p>
    <w:p>
      <w:pPr>
        <w:spacing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Модуль shortCircuit.ts реализует расчёт токов трёхфазного, двухфазного и однофазного короткого замыкания. Учитывает сопротивление трансформатора и кабеля.</w:t>
      </w:r>
    </w:p>
    <w:p>
      <w:pPr>
        <w:pStyle w:val="Heading2"/>
        <w:spacing w:after="140" w:before="280"/>
      </w:pPr>
      <w:bookmarkStart w:id="100029" w:name="_Toc100029"/>
      <w:r>
        <w:rPr>
          <w:rFonts w:ascii="Calibri" w:eastAsia="SimHei"/>
          <w:b/>
          <w:bCs/>
          <w:color w:val="0A1628"/>
          <w:sz w:val="28"/>
          <w:szCs w:val="28"/>
        </w:rPr>
        <w:t xml:space="preserve">7.5 Расчёт потерь напряжения</w:t>
      </w:r>
      <w:bookmarkEnd w:id="100029"/>
    </w:p>
    <w:p>
      <w:pPr>
        <w:spacing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Модуль voltageDrop.ts содержит функции для расчёта потерь напряжения в кабелях с учётом коэффициента мощности и длины линии.</w:t>
      </w:r>
    </w:p>
    <w:p>
      <w:pPr>
        <w:spacing w:before="200"/>
      </w:pPr>
    </w:p>
    <w:p>
      <w:pPr>
        <w:pStyle w:val="Heading1"/>
        <w:spacing w:after="180" w:before="360"/>
      </w:pPr>
      <w:bookmarkStart w:id="100030" w:name="_Toc100030"/>
      <w:r>
        <w:rPr>
          <w:rFonts w:ascii="Calibri" w:eastAsia="SimHei"/>
          <w:b/>
          <w:bCs/>
          <w:color w:val="0A1628"/>
          <w:sz w:val="32"/>
          <w:szCs w:val="32"/>
        </w:rPr>
        <w:t xml:space="preserve">8. Типы элементов сети</w:t>
      </w:r>
      <w:bookmarkEnd w:id="100030"/>
    </w:p>
    <w:p>
      <w:pPr>
        <w:spacing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Система поддерживает следующие типы элементов: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5B8DB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Тип</w:t>
            </w:r>
          </w:p>
        </w:tc>
        <w:tc>
          <w:tcPr>
            <w:shd w:fill="5B8DB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Описание</w:t>
            </w:r>
          </w:p>
        </w:tc>
        <w:tc>
          <w:tcPr>
            <w:shd w:fill="5B8DB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Иконка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2B40"/>
                <w:sz w:val="21"/>
                <w:szCs w:val="21"/>
              </w:rPr>
              <w:t xml:space="preserve">SOURCE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2B40"/>
                <w:sz w:val="21"/>
                <w:szCs w:val="21"/>
              </w:rPr>
              <w:t xml:space="preserve">Источник питания (трансформатор, ДГУ)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2B40"/>
                <w:sz w:val="21"/>
                <w:szCs w:val="21"/>
              </w:rPr>
              <w:t xml:space="preserve">Жёлтый-зелёный</w:t>
            </w:r>
          </w:p>
        </w:tc>
      </w:tr>
      <w:tr>
        <w:tc>
          <w:tcPr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2B40"/>
                <w:sz w:val="21"/>
                <w:szCs w:val="21"/>
              </w:rPr>
              <w:t xml:space="preserve">BUS</w:t>
            </w:r>
          </w:p>
        </w:tc>
        <w:tc>
          <w:tcPr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2B40"/>
                <w:sz w:val="21"/>
                <w:szCs w:val="21"/>
              </w:rPr>
              <w:t xml:space="preserve">Шина (сборные шины)</w:t>
            </w:r>
          </w:p>
        </w:tc>
        <w:tc>
          <w:tcPr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2B40"/>
                <w:sz w:val="21"/>
                <w:szCs w:val="21"/>
              </w:rPr>
              <w:t xml:space="preserve">Медный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2B40"/>
                <w:sz w:val="21"/>
                <w:szCs w:val="21"/>
              </w:rPr>
              <w:t xml:space="preserve">JUNCTION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2B40"/>
                <w:sz w:val="21"/>
                <w:szCs w:val="21"/>
              </w:rPr>
              <w:t xml:space="preserve">Узел (точка распределения)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2B40"/>
                <w:sz w:val="21"/>
                <w:szCs w:val="21"/>
              </w:rPr>
              <w:t xml:space="preserve">Серый</w:t>
            </w:r>
          </w:p>
        </w:tc>
      </w:tr>
      <w:tr>
        <w:tc>
          <w:tcPr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2B40"/>
                <w:sz w:val="21"/>
                <w:szCs w:val="21"/>
              </w:rPr>
              <w:t xml:space="preserve">BREAKER</w:t>
            </w:r>
          </w:p>
        </w:tc>
        <w:tc>
          <w:tcPr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2B40"/>
                <w:sz w:val="21"/>
                <w:szCs w:val="21"/>
              </w:rPr>
              <w:t xml:space="preserve">Выключатель</w:t>
            </w:r>
          </w:p>
        </w:tc>
        <w:tc>
          <w:tcPr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2B40"/>
                <w:sz w:val="21"/>
                <w:szCs w:val="21"/>
              </w:rPr>
              <w:t xml:space="preserve">Чёрный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2B40"/>
                <w:sz w:val="21"/>
                <w:szCs w:val="21"/>
              </w:rPr>
              <w:t xml:space="preserve">METER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2B40"/>
                <w:sz w:val="21"/>
                <w:szCs w:val="21"/>
              </w:rPr>
              <w:t xml:space="preserve">Счётчик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2B40"/>
                <w:sz w:val="21"/>
                <w:szCs w:val="21"/>
              </w:rPr>
              <w:t xml:space="preserve">Синий</w:t>
            </w:r>
          </w:p>
        </w:tc>
      </w:tr>
      <w:tr>
        <w:tc>
          <w:tcPr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2B40"/>
                <w:sz w:val="21"/>
                <w:szCs w:val="21"/>
              </w:rPr>
              <w:t xml:space="preserve">LOAD</w:t>
            </w:r>
          </w:p>
        </w:tc>
        <w:tc>
          <w:tcPr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2B40"/>
                <w:sz w:val="21"/>
                <w:szCs w:val="21"/>
              </w:rPr>
              <w:t xml:space="preserve">Нагрузка</w:t>
            </w:r>
          </w:p>
        </w:tc>
        <w:tc>
          <w:tcPr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2B40"/>
                <w:sz w:val="21"/>
                <w:szCs w:val="21"/>
              </w:rPr>
              <w:t xml:space="preserve">Белый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2B40"/>
                <w:sz w:val="21"/>
                <w:szCs w:val="21"/>
              </w:rPr>
              <w:t xml:space="preserve">CABINET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2B40"/>
                <w:sz w:val="21"/>
                <w:szCs w:val="21"/>
              </w:rPr>
              <w:t xml:space="preserve">Шкаф (ЩР, ГРЩ)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2B40"/>
                <w:sz w:val="21"/>
                <w:szCs w:val="21"/>
              </w:rPr>
              <w:t xml:space="preserve">Медный</w:t>
            </w:r>
          </w:p>
        </w:tc>
      </w:tr>
    </w:tbl>
    <w:p>
      <w:pPr>
        <w:spacing w:before="200"/>
      </w:pPr>
    </w:p>
    <w:p>
      <w:pPr>
        <w:pStyle w:val="Heading1"/>
        <w:spacing w:after="180" w:before="360"/>
      </w:pPr>
      <w:bookmarkStart w:id="100031" w:name="_Toc100031"/>
      <w:r>
        <w:rPr>
          <w:rFonts w:ascii="Calibri" w:eastAsia="SimHei"/>
          <w:b/>
          <w:bCs/>
          <w:color w:val="0A1628"/>
          <w:sz w:val="32"/>
          <w:szCs w:val="32"/>
        </w:rPr>
        <w:t xml:space="preserve">9. Заключение</w:t>
      </w:r>
      <w:bookmarkEnd w:id="100031"/>
    </w:p>
    <w:p>
      <w:pPr>
        <w:spacing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Система RVectrA представляет собой полнофункциональный цифровой двойник электрической сети, обеспечивающий импорт, визуализацию и валидацию данных. Система построена на современном технологическом стеке и может быть расширена для решения различных производственных задач.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Для разработки и расширения системы рекомендуется изучить документацию Next.js, Prisma и React для понимания архитектуры проекта. Все исходные коды проекта находятся в каталоге /src и хорошо закомментированы.</w:t>
      </w:r>
    </w:p>
    <w:sectPr>
      <w:headerReference w:type="default" r:id="rId7"/>
      <w:footerReference w:type="default" r:id="rId8"/>
      <w:pgSz w:w="11906" w:h="16838" w:orient="portrait"/>
      <w:pgMar w:top="1440" w:right="1417" w:bottom="1440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878A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878A0"/>
        <w:sz w:val="18"/>
        <w:szCs w:val="18"/>
      </w:rPr>
      <w:t xml:space="preserve">RVectrA - Цифровой двойник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icrosoft YaHei"/>
        <w:color w:val="1A2B40"/>
        <w:sz w:val="24"/>
        <w:szCs w:val="24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pPr>
      <w:outlineLvl w:val="0"/>
    </w:pPr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pPr>
      <w:outlineLvl w:val="1"/>
    </w:pPr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pPr>
      <w:outlineLvl w:val="2"/>
    </w:pPr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2026-04-14T09:54:41.152Z</dcterms:created>
  <dcterms:modified xsi:type="dcterms:W3CDTF">2026-04-14T09:54:41.152Z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