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36"/>
          <w:szCs w:val="36"/>
        </w:rPr>
      </w:pPr>
      <w:r w:rsidDel="00000000" w:rsidR="00000000" w:rsidRPr="00000000">
        <w:rPr>
          <w:sz w:val="36"/>
          <w:szCs w:val="36"/>
          <w:rtl w:val="0"/>
        </w:rPr>
        <w:t xml:space="preserve">CENTRO DE ENSEÑANZA TÉCNICA Y SUPERIOR</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657747" cy="2107096"/>
            <wp:effectExtent b="0" l="0" r="0" t="0"/>
            <wp:docPr descr="Archivo:Logo-cetys.png - Wikipedia, la enciclopedia libre" id="1" name="image1.png"/>
            <a:graphic>
              <a:graphicData uri="http://schemas.openxmlformats.org/drawingml/2006/picture">
                <pic:pic>
                  <pic:nvPicPr>
                    <pic:cNvPr descr="Archivo:Logo-cetys.png - Wikipedia, la enciclopedia libre" id="0" name="image1.png"/>
                    <pic:cNvPicPr preferRelativeResize="0"/>
                  </pic:nvPicPr>
                  <pic:blipFill>
                    <a:blip r:embed="rId6"/>
                    <a:srcRect b="0" l="0" r="0" t="0"/>
                    <a:stretch>
                      <a:fillRect/>
                    </a:stretch>
                  </pic:blipFill>
                  <pic:spPr>
                    <a:xfrm>
                      <a:off x="0" y="0"/>
                      <a:ext cx="2657747" cy="210709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Escuela de ingeniería</w:t>
        <w:br w:type="textWrapping"/>
        <w:t xml:space="preserve">Ingeniería en Cibernética Electrónica</w:t>
      </w:r>
    </w:p>
    <w:p w:rsidR="00000000" w:rsidDel="00000000" w:rsidP="00000000" w:rsidRDefault="00000000" w:rsidRPr="00000000" w14:paraId="00000005">
      <w:pPr>
        <w:spacing w:line="360" w:lineRule="auto"/>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Diseño de interfaces</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sz w:val="28"/>
          <w:szCs w:val="28"/>
        </w:rPr>
      </w:pPr>
      <w:r w:rsidDel="00000000" w:rsidR="00000000" w:rsidRPr="00000000">
        <w:rPr>
          <w:sz w:val="28"/>
          <w:szCs w:val="28"/>
          <w:rtl w:val="0"/>
        </w:rPr>
        <w:t xml:space="preserve">Proyecto Final:</w:t>
        <w:br w:type="textWrapping"/>
        <w:t xml:space="preserve">Aplicación de la bibliografía (</w:t>
      </w:r>
      <w:r w:rsidDel="00000000" w:rsidR="00000000" w:rsidRPr="00000000">
        <w:rPr>
          <w:sz w:val="28"/>
          <w:szCs w:val="28"/>
          <w:rtl w:val="0"/>
        </w:rPr>
        <w:t xml:space="preserve">CETYS</w:t>
      </w:r>
      <w:r w:rsidDel="00000000" w:rsidR="00000000" w:rsidRPr="00000000">
        <w:rPr>
          <w:i w:val="1"/>
          <w:iCs w:val="1"/>
          <w:sz w:val="28"/>
          <w:szCs w:val="28"/>
          <w:rtl w:val="0"/>
        </w:rPr>
        <w:t xml:space="preserve">Parking</w:t>
      </w:r>
      <w:r w:rsidDel="00000000" w:rsidR="00000000" w:rsidRPr="00000000">
        <w:rPr>
          <w:sz w:val="28"/>
          <w:szCs w:val="28"/>
          <w:rtl w:val="0"/>
        </w:rPr>
        <w:t xml:space="preserve">)</w:t>
      </w:r>
    </w:p>
    <w:p w:rsidR="00000000" w:rsidDel="00000000" w:rsidP="00000000" w:rsidRDefault="00000000" w:rsidRPr="00000000" w14:paraId="00000009">
      <w:pPr>
        <w:spacing w:line="360" w:lineRule="auto"/>
        <w:rPr>
          <w:sz w:val="28"/>
          <w:szCs w:val="28"/>
        </w:rPr>
      </w:pPr>
      <w:r w:rsidDel="00000000" w:rsidR="00000000" w:rsidRPr="00000000">
        <w:rPr>
          <w:rtl w:val="0"/>
        </w:rPr>
      </w:r>
    </w:p>
    <w:p w:rsidR="00000000" w:rsidDel="00000000" w:rsidP="00000000" w:rsidRDefault="00000000" w:rsidRPr="00000000" w14:paraId="0000000A">
      <w:pPr>
        <w:spacing w:line="360" w:lineRule="auto"/>
        <w:jc w:val="center"/>
        <w:rPr>
          <w:sz w:val="28"/>
          <w:szCs w:val="28"/>
        </w:rPr>
      </w:pPr>
      <w:r w:rsidDel="00000000" w:rsidR="00000000" w:rsidRPr="00000000">
        <w:rPr>
          <w:sz w:val="28"/>
          <w:szCs w:val="28"/>
          <w:rtl w:val="0"/>
        </w:rPr>
        <w:t xml:space="preserve">Presentan:</w:t>
      </w:r>
    </w:p>
    <w:p w:rsidR="00000000" w:rsidDel="00000000" w:rsidP="00000000" w:rsidRDefault="00000000" w:rsidRPr="00000000" w14:paraId="0000000B">
      <w:pPr>
        <w:spacing w:line="360" w:lineRule="auto"/>
        <w:jc w:val="center"/>
        <w:rPr>
          <w:sz w:val="28"/>
          <w:szCs w:val="28"/>
        </w:rPr>
      </w:pPr>
      <w:r w:rsidDel="00000000" w:rsidR="00000000" w:rsidRPr="00000000">
        <w:rPr>
          <w:sz w:val="28"/>
          <w:szCs w:val="28"/>
          <w:rtl w:val="0"/>
        </w:rPr>
        <w:t xml:space="preserve">Osiel Gastélum Zazueta, 35596</w:t>
      </w:r>
    </w:p>
    <w:p w:rsidR="00000000" w:rsidDel="00000000" w:rsidP="00000000" w:rsidRDefault="00000000" w:rsidRPr="00000000" w14:paraId="0000000C">
      <w:pPr>
        <w:spacing w:line="360" w:lineRule="auto"/>
        <w:jc w:val="center"/>
        <w:rPr>
          <w:sz w:val="28"/>
          <w:szCs w:val="28"/>
        </w:rPr>
      </w:pPr>
      <w:r w:rsidDel="00000000" w:rsidR="00000000" w:rsidRPr="00000000">
        <w:rPr>
          <w:sz w:val="28"/>
          <w:szCs w:val="28"/>
          <w:rtl w:val="0"/>
        </w:rPr>
        <w:t xml:space="preserve">Rene Lozano García, 32827</w:t>
      </w:r>
    </w:p>
    <w:p w:rsidR="00000000" w:rsidDel="00000000" w:rsidP="00000000" w:rsidRDefault="00000000" w:rsidRPr="00000000" w14:paraId="0000000D">
      <w:pPr>
        <w:spacing w:line="360" w:lineRule="auto"/>
        <w:rPr>
          <w:sz w:val="28"/>
          <w:szCs w:val="28"/>
        </w:rPr>
      </w:pPr>
      <w:r w:rsidDel="00000000" w:rsidR="00000000" w:rsidRPr="00000000">
        <w:rPr>
          <w:rtl w:val="0"/>
        </w:rPr>
      </w:r>
    </w:p>
    <w:p w:rsidR="00000000" w:rsidDel="00000000" w:rsidP="00000000" w:rsidRDefault="00000000" w:rsidRPr="00000000" w14:paraId="0000000E">
      <w:pPr>
        <w:spacing w:line="360" w:lineRule="auto"/>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rtl w:val="0"/>
        </w:rPr>
      </w:r>
    </w:p>
    <w:p w:rsidR="00000000" w:rsidDel="00000000" w:rsidP="00000000" w:rsidRDefault="00000000" w:rsidRPr="00000000" w14:paraId="00000010">
      <w:pPr>
        <w:spacing w:line="360" w:lineRule="auto"/>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rtl w:val="0"/>
        </w:rPr>
      </w:r>
    </w:p>
    <w:p w:rsidR="00000000" w:rsidDel="00000000" w:rsidP="00000000" w:rsidRDefault="00000000" w:rsidRPr="00000000" w14:paraId="00000012">
      <w:pPr>
        <w:widowControl w:val="0"/>
        <w:spacing w:before="12" w:line="200" w:lineRule="auto"/>
        <w:jc w:val="center"/>
        <w:rPr>
          <w:sz w:val="20"/>
          <w:szCs w:val="20"/>
        </w:rPr>
      </w:pPr>
      <w:r w:rsidDel="00000000" w:rsidR="00000000" w:rsidRPr="00000000">
        <w:rPr>
          <w:sz w:val="28"/>
          <w:szCs w:val="28"/>
          <w:rtl w:val="0"/>
        </w:rPr>
        <w:t xml:space="preserve">Tijuana, B.C., 3 de diciembre de 2025</w:t>
      </w:r>
      <w:r w:rsidDel="00000000" w:rsidR="00000000" w:rsidRPr="00000000">
        <w:rPr>
          <w:rtl w:val="0"/>
        </w:rPr>
      </w:r>
    </w:p>
    <w:p w:rsidR="00000000" w:rsidDel="00000000" w:rsidP="00000000" w:rsidRDefault="00000000" w:rsidRPr="00000000" w14:paraId="00000013">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b w:val="1"/>
          <w:bCs w:val="1"/>
          <w:sz w:val="28"/>
          <w:szCs w:val="28"/>
          <w:rtl w:val="0"/>
        </w:rPr>
        <w:t xml:space="preserve">Análisis bibliográfico del sistema </w:t>
      </w:r>
      <w:r w:rsidDel="00000000" w:rsidR="00000000" w:rsidRPr="00000000">
        <w:rPr>
          <w:b w:val="1"/>
          <w:bCs w:val="1"/>
          <w:sz w:val="28"/>
          <w:szCs w:val="28"/>
          <w:rtl w:val="0"/>
        </w:rPr>
        <w:t xml:space="preserve">CETYS</w:t>
      </w:r>
      <w:r w:rsidDel="00000000" w:rsidR="00000000" w:rsidRPr="00000000">
        <w:rPr>
          <w:b w:val="1"/>
          <w:bCs w:val="1"/>
          <w:i w:val="1"/>
          <w:iCs w:val="1"/>
          <w:sz w:val="28"/>
          <w:szCs w:val="28"/>
          <w:rtl w:val="0"/>
        </w:rPr>
        <w:t xml:space="preserve">Parking</w:t>
      </w:r>
      <w:r w:rsidDel="00000000" w:rsidR="00000000" w:rsidRPr="00000000">
        <w:rPr>
          <w:b w:val="1"/>
          <w:bCs w:val="1"/>
          <w:sz w:val="28"/>
          <w:szCs w:val="28"/>
          <w:rtl w:val="0"/>
        </w:rPr>
        <w:t xml:space="preserve">: Fundamentos teóricos y aplicaciones tecnológicas en la gestión inteligente de estacionamientos</w:t>
      </w:r>
    </w:p>
    <w:p w:rsidR="00000000" w:rsidDel="00000000" w:rsidP="00000000" w:rsidRDefault="00000000" w:rsidRPr="00000000" w14:paraId="00000015">
      <w:pPr>
        <w:spacing w:line="360" w:lineRule="auto"/>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16">
      <w:pPr>
        <w:spacing w:line="360" w:lineRule="auto"/>
        <w:ind w:firstLine="720"/>
        <w:rPr>
          <w:sz w:val="24"/>
          <w:szCs w:val="24"/>
        </w:rPr>
      </w:pPr>
      <w:r w:rsidDel="00000000" w:rsidR="00000000" w:rsidRPr="00000000">
        <w:rPr>
          <w:sz w:val="24"/>
          <w:szCs w:val="24"/>
          <w:rtl w:val="0"/>
        </w:rPr>
        <w:t xml:space="preserve">El desarrollo del sistema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se fundamenta en una sólida base bibliográfica que abarca múltiples áreas del conocimiento, desde sistemas embebidos y tecnologías IoT hasta gestión urbana sostenible y experiencia del usuario. La presente investigación analiza de manera sistemática las fuentes bibliográficas empleadas en el proyecto, examinando cómo cada referencia contribuyó al diseño, implementación y justificación teórica de la solución desarrollada.</w:t>
      </w:r>
    </w:p>
    <w:p w:rsidR="00000000" w:rsidDel="00000000" w:rsidP="00000000" w:rsidRDefault="00000000" w:rsidRPr="00000000" w14:paraId="00000017">
      <w:pPr>
        <w:spacing w:line="360" w:lineRule="auto"/>
        <w:ind w:firstLine="720"/>
        <w:rPr>
          <w:sz w:val="24"/>
          <w:szCs w:val="24"/>
        </w:rPr>
      </w:pPr>
      <w:r w:rsidDel="00000000" w:rsidR="00000000" w:rsidRPr="00000000">
        <w:rPr>
          <w:sz w:val="24"/>
          <w:szCs w:val="24"/>
          <w:rtl w:val="0"/>
        </w:rPr>
        <w:t xml:space="preserve">La gestión inteligente de estacionamientos representa una convergencia de disciplinas tecnológicas que requiere comprensión profunda de sensores inductivos, microcontroladores, comunicaciones MQTT, desarrollo web reactivo y análisis de datos. La bibliografía seleccionada refleja esta multidisciplinariedad, proporcionando tanto fundamentos teóricos como evidencia empírica de la efectividad de las tecnologías implementadas.</w:t>
      </w:r>
    </w:p>
    <w:p w:rsidR="00000000" w:rsidDel="00000000" w:rsidP="00000000" w:rsidRDefault="00000000" w:rsidRPr="00000000" w14:paraId="00000018">
      <w:pPr>
        <w:spacing w:line="360" w:lineRule="auto"/>
        <w:ind w:firstLine="720"/>
        <w:rPr>
          <w:sz w:val="24"/>
          <w:szCs w:val="24"/>
        </w:rPr>
      </w:pPr>
      <w:r w:rsidDel="00000000" w:rsidR="00000000" w:rsidRPr="00000000">
        <w:rPr>
          <w:sz w:val="24"/>
          <w:szCs w:val="24"/>
          <w:rtl w:val="0"/>
        </w:rPr>
        <w:t xml:space="preserve">El análisis bibliográfico se estructura en cuatro dimensiones principales: fundamentos de ciudades inteligentes y sostenibilidad, tecnologías de detección y sensores, arquitecturas de sistemas IoT, y contexto institucional específico. Esta aproximación permite comprender no sólo los aspectos técnicos del desarrollo, sino también el impacto social y ambiental del sistema propuesto.</w:t>
      </w:r>
    </w:p>
    <w:p w:rsidR="00000000" w:rsidDel="00000000" w:rsidP="00000000" w:rsidRDefault="00000000" w:rsidRPr="00000000" w14:paraId="00000019">
      <w:pPr>
        <w:spacing w:line="360" w:lineRule="auto"/>
        <w:rPr>
          <w:b w:val="1"/>
          <w:bCs w:val="1"/>
          <w:sz w:val="28"/>
          <w:szCs w:val="28"/>
        </w:rPr>
      </w:pPr>
      <w:r w:rsidDel="00000000" w:rsidR="00000000" w:rsidRPr="00000000">
        <w:rPr>
          <w:b w:val="1"/>
          <w:bCs w:val="1"/>
          <w:sz w:val="28"/>
          <w:szCs w:val="28"/>
          <w:rtl w:val="0"/>
        </w:rPr>
        <w:t xml:space="preserve">Desarrollo</w:t>
      </w:r>
    </w:p>
    <w:p w:rsidR="00000000" w:rsidDel="00000000" w:rsidP="00000000" w:rsidRDefault="00000000" w:rsidRPr="00000000" w14:paraId="0000001A">
      <w:pPr>
        <w:spacing w:line="360" w:lineRule="auto"/>
        <w:rPr>
          <w:b w:val="1"/>
          <w:bCs w:val="1"/>
          <w:i w:val="1"/>
          <w:iCs w:val="1"/>
          <w:sz w:val="28"/>
          <w:szCs w:val="28"/>
        </w:rPr>
      </w:pPr>
      <w:r w:rsidDel="00000000" w:rsidR="00000000" w:rsidRPr="00000000">
        <w:rPr>
          <w:b w:val="1"/>
          <w:bCs w:val="1"/>
          <w:i w:val="1"/>
          <w:iCs w:val="1"/>
          <w:sz w:val="28"/>
          <w:szCs w:val="28"/>
          <w:rtl w:val="0"/>
        </w:rPr>
        <w:t xml:space="preserve">Fundamentos de sostenibilidad y ciudades inteligentes</w:t>
      </w:r>
    </w:p>
    <w:p w:rsidR="00000000" w:rsidDel="00000000" w:rsidP="00000000" w:rsidRDefault="00000000" w:rsidRPr="00000000" w14:paraId="0000001B">
      <w:pPr>
        <w:spacing w:line="360" w:lineRule="auto"/>
        <w:ind w:firstLine="720"/>
        <w:rPr>
          <w:sz w:val="24"/>
          <w:szCs w:val="24"/>
        </w:rPr>
      </w:pPr>
      <w:r w:rsidDel="00000000" w:rsidR="00000000" w:rsidRPr="00000000">
        <w:rPr>
          <w:sz w:val="24"/>
          <w:szCs w:val="24"/>
          <w:rtl w:val="0"/>
        </w:rPr>
        <w:t xml:space="preserve">La investigación de Brauer et al. (2015) establece el marco conceptual fundamental del proyecto al analizar soluciones de sistemas de información verde (Green IS) para fomentar la sostenibilidad ambiental en ciudades inteligentes. Esta referencia proporcionó la justificación teórica para posicionar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como una contribución tangible al desarrollo de infraestructura urbana sostenible. Los autores demuestran que los sistemas de gestión de recursos urbanos, incluyendo estacionamientos, pueden reducir significativamente las emisiones vehiculares y optimizar el tráfico urbano.</w:t>
      </w:r>
    </w:p>
    <w:p w:rsidR="00000000" w:rsidDel="00000000" w:rsidP="00000000" w:rsidRDefault="00000000" w:rsidRPr="00000000" w14:paraId="0000001C">
      <w:pPr>
        <w:spacing w:line="360" w:lineRule="auto"/>
        <w:ind w:firstLine="720"/>
        <w:rPr>
          <w:sz w:val="24"/>
          <w:szCs w:val="24"/>
        </w:rPr>
      </w:pPr>
      <w:r w:rsidDel="00000000" w:rsidR="00000000" w:rsidRPr="00000000">
        <w:rPr>
          <w:sz w:val="24"/>
          <w:szCs w:val="24"/>
          <w:rtl w:val="0"/>
        </w:rPr>
        <w:t xml:space="preserve">El concepto de Green IS se materializó en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i w:val="1"/>
          <w:iCs w:val="1"/>
          <w:sz w:val="24"/>
          <w:szCs w:val="24"/>
          <w:rtl w:val="0"/>
        </w:rPr>
        <w:t xml:space="preserve"> </w:t>
      </w:r>
      <w:r w:rsidDel="00000000" w:rsidR="00000000" w:rsidRPr="00000000">
        <w:rPr>
          <w:sz w:val="24"/>
          <w:szCs w:val="24"/>
          <w:rtl w:val="0"/>
        </w:rPr>
        <w:t xml:space="preserve">mediante la implementación de algoritmos de optimización que reducen el tiempo de búsqueda de estacionamiento, disminuyendo consecuentemente las emisiones de CO2 por circulación innecesaria. La investigación de Brauer et al. </w:t>
      </w:r>
      <w:r w:rsidDel="00000000" w:rsidR="00000000" w:rsidRPr="00000000">
        <w:rPr>
          <w:sz w:val="24"/>
          <w:szCs w:val="24"/>
          <w:rtl w:val="0"/>
        </w:rPr>
        <w:t xml:space="preserve">validó</w:t>
      </w:r>
      <w:r w:rsidDel="00000000" w:rsidR="00000000" w:rsidRPr="00000000">
        <w:rPr>
          <w:sz w:val="24"/>
          <w:szCs w:val="24"/>
          <w:rtl w:val="0"/>
        </w:rPr>
        <w:t xml:space="preserve"> la premisa de que las tecnologías de información pueden generar beneficios ambientales medibles, lo cual se traduce en el proyecto en una reducción estimada de 10-15 minutos de búsqueda por estudiante por día.</w:t>
      </w:r>
    </w:p>
    <w:p w:rsidR="00000000" w:rsidDel="00000000" w:rsidP="00000000" w:rsidRDefault="00000000" w:rsidRPr="00000000" w14:paraId="0000001D">
      <w:pPr>
        <w:spacing w:line="360" w:lineRule="auto"/>
        <w:rPr>
          <w:b w:val="1"/>
          <w:bCs w:val="1"/>
          <w:i w:val="1"/>
          <w:iCs w:val="1"/>
          <w:sz w:val="28"/>
          <w:szCs w:val="28"/>
        </w:rPr>
      </w:pPr>
      <w:r w:rsidDel="00000000" w:rsidR="00000000" w:rsidRPr="00000000">
        <w:rPr>
          <w:b w:val="1"/>
          <w:bCs w:val="1"/>
          <w:i w:val="1"/>
          <w:iCs w:val="1"/>
          <w:sz w:val="28"/>
          <w:szCs w:val="28"/>
          <w:rtl w:val="0"/>
        </w:rPr>
        <w:t xml:space="preserve">Sistemas de estacionamiento inteligente: estado del arte</w:t>
      </w:r>
    </w:p>
    <w:p w:rsidR="00000000" w:rsidDel="00000000" w:rsidP="00000000" w:rsidRDefault="00000000" w:rsidRPr="00000000" w14:paraId="0000001E">
      <w:pPr>
        <w:spacing w:line="360" w:lineRule="auto"/>
        <w:ind w:firstLine="720"/>
        <w:rPr>
          <w:sz w:val="24"/>
          <w:szCs w:val="24"/>
        </w:rPr>
      </w:pPr>
      <w:r w:rsidDel="00000000" w:rsidR="00000000" w:rsidRPr="00000000">
        <w:rPr>
          <w:sz w:val="24"/>
          <w:szCs w:val="24"/>
          <w:rtl w:val="0"/>
        </w:rPr>
        <w:t xml:space="preserve">La revisión comprehensiva de Dey et al. (2023) sobre sistemas de estacionamiento inteligente proporcionó el contexto tecnológico contemporáneo para el desarrollo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Esta investigación identificó las tendencias actuales en detección vehicular, comunicaciones IoT e interfaces de usuario, estableciendo los estándares de funcionalidad que el sistema debía alcanzar. Los autores analizan 156 implementaciones de </w:t>
      </w:r>
      <w:r w:rsidDel="00000000" w:rsidR="00000000" w:rsidRPr="00000000">
        <w:rPr>
          <w:i w:val="1"/>
          <w:iCs w:val="1"/>
          <w:sz w:val="24"/>
          <w:szCs w:val="24"/>
          <w:rtl w:val="0"/>
        </w:rPr>
        <w:t xml:space="preserve">smart parking</w:t>
      </w:r>
      <w:r w:rsidDel="00000000" w:rsidR="00000000" w:rsidRPr="00000000">
        <w:rPr>
          <w:sz w:val="24"/>
          <w:szCs w:val="24"/>
          <w:rtl w:val="0"/>
        </w:rPr>
        <w:t xml:space="preserve"> a nivel mundial, identificando patrones de éxito en arquitecturas similares a la propuesta.</w:t>
      </w:r>
    </w:p>
    <w:p w:rsidR="00000000" w:rsidDel="00000000" w:rsidP="00000000" w:rsidRDefault="00000000" w:rsidRPr="00000000" w14:paraId="0000001F">
      <w:pPr>
        <w:spacing w:line="360" w:lineRule="auto"/>
        <w:ind w:firstLine="720"/>
        <w:rPr>
          <w:sz w:val="24"/>
          <w:szCs w:val="24"/>
        </w:rPr>
      </w:pPr>
      <w:r w:rsidDel="00000000" w:rsidR="00000000" w:rsidRPr="00000000">
        <w:rPr>
          <w:sz w:val="24"/>
          <w:szCs w:val="24"/>
          <w:rtl w:val="0"/>
        </w:rPr>
        <w:t xml:space="preserve">Complementariamente, el trabajo de Paidi et al. (2021) ofreció una perspectiva sistemática de los componentes esenciales de sistemas de estacionamiento inteligente, influyendo directamente en las decisiones arquitectónicas del proyecto. Su análisis de sensores inductivos, comunicaciones inalámbricas y procesamiento de datos en tiempo real validó la selección tecnológica realizada para </w:t>
      </w:r>
      <w:r w:rsidDel="00000000" w:rsidR="00000000" w:rsidRPr="00000000">
        <w:rPr>
          <w:sz w:val="24"/>
          <w:szCs w:val="24"/>
          <w:rtl w:val="0"/>
        </w:rPr>
        <w:t xml:space="preserve">CETYSParking</w:t>
      </w:r>
      <w:r w:rsidDel="00000000" w:rsidR="00000000" w:rsidRPr="00000000">
        <w:rPr>
          <w:sz w:val="24"/>
          <w:szCs w:val="24"/>
          <w:rtl w:val="0"/>
        </w:rPr>
        <w:t xml:space="preserve">. La investigación demostró que sistemas basados en microcontroladores STM32 con comunicación MQTT representan configuraciones óptimas para instituciones educativas.</w:t>
      </w:r>
    </w:p>
    <w:p w:rsidR="00000000" w:rsidDel="00000000" w:rsidP="00000000" w:rsidRDefault="00000000" w:rsidRPr="00000000" w14:paraId="00000020">
      <w:pPr>
        <w:spacing w:line="360" w:lineRule="auto"/>
        <w:rPr>
          <w:b w:val="1"/>
          <w:bCs w:val="1"/>
          <w:i w:val="1"/>
          <w:iCs w:val="1"/>
          <w:sz w:val="28"/>
          <w:szCs w:val="28"/>
        </w:rPr>
      </w:pPr>
      <w:r w:rsidDel="00000000" w:rsidR="00000000" w:rsidRPr="00000000">
        <w:rPr>
          <w:b w:val="1"/>
          <w:bCs w:val="1"/>
          <w:i w:val="1"/>
          <w:iCs w:val="1"/>
          <w:sz w:val="28"/>
          <w:szCs w:val="28"/>
          <w:rtl w:val="0"/>
        </w:rPr>
        <w:t xml:space="preserve">Asignación de recursos y sistemas de reservas</w:t>
      </w:r>
    </w:p>
    <w:p w:rsidR="00000000" w:rsidDel="00000000" w:rsidP="00000000" w:rsidRDefault="00000000" w:rsidRPr="00000000" w14:paraId="00000021">
      <w:pPr>
        <w:spacing w:line="360" w:lineRule="auto"/>
        <w:ind w:firstLine="720"/>
        <w:rPr>
          <w:sz w:val="24"/>
          <w:szCs w:val="24"/>
        </w:rPr>
      </w:pPr>
      <w:r w:rsidDel="00000000" w:rsidR="00000000" w:rsidRPr="00000000">
        <w:rPr>
          <w:sz w:val="24"/>
          <w:szCs w:val="24"/>
          <w:rtl w:val="0"/>
        </w:rPr>
        <w:t xml:space="preserve">La investigación fundamental de Geng y Cassandras (2013) sobre sistemas de estacionamiento basados en asignación de recursos y reservas estableció los principios algorítmicos implementados en la funcionalidad de reservas anticipadas de </w:t>
      </w:r>
      <w:r w:rsidDel="00000000" w:rsidR="00000000" w:rsidRPr="00000000">
        <w:rPr>
          <w:sz w:val="24"/>
          <w:szCs w:val="24"/>
          <w:rtl w:val="0"/>
        </w:rPr>
        <w:t xml:space="preserve">CETYSParking</w:t>
      </w:r>
      <w:r w:rsidDel="00000000" w:rsidR="00000000" w:rsidRPr="00000000">
        <w:rPr>
          <w:sz w:val="24"/>
          <w:szCs w:val="24"/>
          <w:rtl w:val="0"/>
        </w:rPr>
        <w:t xml:space="preserve">. Los autores desarrollaron modelos matemáticos para optimización de asignación de espacios que fueron adaptados al contexto específico de instituciones educativas.</w:t>
      </w:r>
    </w:p>
    <w:p w:rsidR="00000000" w:rsidDel="00000000" w:rsidP="00000000" w:rsidRDefault="00000000" w:rsidRPr="00000000" w14:paraId="00000022">
      <w:pPr>
        <w:spacing w:line="360" w:lineRule="auto"/>
        <w:ind w:firstLine="720"/>
        <w:rPr>
          <w:sz w:val="24"/>
          <w:szCs w:val="24"/>
        </w:rPr>
      </w:pPr>
      <w:r w:rsidDel="00000000" w:rsidR="00000000" w:rsidRPr="00000000">
        <w:rPr>
          <w:sz w:val="24"/>
          <w:szCs w:val="24"/>
          <w:rtl w:val="0"/>
        </w:rPr>
        <w:t xml:space="preserve">El sistema de reservas implementado en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incorpora los algoritmos de validación temporal y prevención de conflictos propuestos por Geng y Cassandras, garantizando integridad de datos y experiencia de usuario óptima. La gestión automática de liberación de reservas y la sincronización entre interfaz web y hardware físico reflejan directamente los principios teóricos establecidos en esta investigación seminal.</w:t>
      </w:r>
    </w:p>
    <w:p w:rsidR="00000000" w:rsidDel="00000000" w:rsidP="00000000" w:rsidRDefault="00000000" w:rsidRPr="00000000" w14:paraId="00000023">
      <w:pPr>
        <w:spacing w:line="360" w:lineRule="auto"/>
        <w:rPr>
          <w:b w:val="1"/>
          <w:bCs w:val="1"/>
          <w:i w:val="1"/>
          <w:iCs w:val="1"/>
          <w:sz w:val="28"/>
          <w:szCs w:val="28"/>
        </w:rPr>
      </w:pPr>
      <w:r w:rsidDel="00000000" w:rsidR="00000000" w:rsidRPr="00000000">
        <w:rPr>
          <w:b w:val="1"/>
          <w:bCs w:val="1"/>
          <w:i w:val="1"/>
          <w:iCs w:val="1"/>
          <w:sz w:val="28"/>
          <w:szCs w:val="28"/>
          <w:rtl w:val="0"/>
        </w:rPr>
        <w:t xml:space="preserve">Tecnologías de detección: sensores inductivos</w:t>
      </w:r>
    </w:p>
    <w:p w:rsidR="00000000" w:rsidDel="00000000" w:rsidP="00000000" w:rsidRDefault="00000000" w:rsidRPr="00000000" w14:paraId="00000024">
      <w:pPr>
        <w:spacing w:line="360" w:lineRule="auto"/>
        <w:ind w:firstLine="720"/>
        <w:rPr>
          <w:sz w:val="24"/>
          <w:szCs w:val="24"/>
        </w:rPr>
      </w:pPr>
      <w:r w:rsidDel="00000000" w:rsidR="00000000" w:rsidRPr="00000000">
        <w:rPr>
          <w:sz w:val="24"/>
          <w:szCs w:val="24"/>
          <w:rtl w:val="0"/>
        </w:rPr>
        <w:t xml:space="preserve">La investigación especializada de Oh et al. (2011) sobre aplicación de sensores inductivos como detectores vehiculares proporcionó los fundamentos técnicos para la implementación del sistema de detección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Los autores analizan exhaustivamente las características de respuesta de sensores inductivos en diferentes condiciones ambientales, estableciendo parámetros de configuración para maximizar precisión y minimizar falsos positivos.</w:t>
      </w:r>
    </w:p>
    <w:p w:rsidR="00000000" w:rsidDel="00000000" w:rsidP="00000000" w:rsidRDefault="00000000" w:rsidRPr="00000000" w14:paraId="00000025">
      <w:pPr>
        <w:spacing w:line="360" w:lineRule="auto"/>
        <w:ind w:firstLine="720"/>
        <w:rPr>
          <w:sz w:val="24"/>
          <w:szCs w:val="24"/>
        </w:rPr>
      </w:pPr>
      <w:r w:rsidDel="00000000" w:rsidR="00000000" w:rsidRPr="00000000">
        <w:rPr>
          <w:sz w:val="24"/>
          <w:szCs w:val="24"/>
          <w:rtl w:val="0"/>
        </w:rPr>
        <w:t xml:space="preserve">Los algoritmos de anti-rebote implementados en el firmware STM32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se basaron directamente en las recomendaciones de Oh et al., utilizando ventanas temporales de 50 ms para filtrar ruido eléctrico y vibraciones mecánicas. La configuración de resistencias pull-up y detección por flancos mediante interrupciones EXTI refleja las mejores prácticas identificadas en esta investigación especializada.</w:t>
      </w:r>
    </w:p>
    <w:p w:rsidR="00000000" w:rsidDel="00000000" w:rsidP="00000000" w:rsidRDefault="00000000" w:rsidRPr="00000000" w14:paraId="00000026">
      <w:pPr>
        <w:spacing w:line="360" w:lineRule="auto"/>
        <w:rPr>
          <w:b w:val="1"/>
          <w:bCs w:val="1"/>
          <w:i w:val="1"/>
          <w:iCs w:val="1"/>
          <w:sz w:val="28"/>
          <w:szCs w:val="28"/>
        </w:rPr>
      </w:pPr>
      <w:r w:rsidDel="00000000" w:rsidR="00000000" w:rsidRPr="00000000">
        <w:rPr>
          <w:b w:val="1"/>
          <w:bCs w:val="1"/>
          <w:i w:val="1"/>
          <w:iCs w:val="1"/>
          <w:sz w:val="28"/>
          <w:szCs w:val="28"/>
          <w:rtl w:val="0"/>
        </w:rPr>
        <w:t xml:space="preserve">Ecosistemas de servicio especializados</w:t>
      </w:r>
    </w:p>
    <w:p w:rsidR="00000000" w:rsidDel="00000000" w:rsidP="00000000" w:rsidRDefault="00000000" w:rsidRPr="00000000" w14:paraId="00000027">
      <w:pPr>
        <w:spacing w:line="360" w:lineRule="auto"/>
        <w:ind w:firstLine="720"/>
        <w:rPr>
          <w:sz w:val="24"/>
          <w:szCs w:val="24"/>
        </w:rPr>
      </w:pPr>
      <w:r w:rsidDel="00000000" w:rsidR="00000000" w:rsidRPr="00000000">
        <w:rPr>
          <w:sz w:val="24"/>
          <w:szCs w:val="24"/>
          <w:rtl w:val="0"/>
        </w:rPr>
        <w:t xml:space="preserve">La investigación de Zimmermann et al. (2023) sobre la emergencia de ecosistemas de servicio especializados en </w:t>
      </w:r>
      <w:r w:rsidDel="00000000" w:rsidR="00000000" w:rsidRPr="00000000">
        <w:rPr>
          <w:i w:val="1"/>
          <w:iCs w:val="1"/>
          <w:sz w:val="24"/>
          <w:szCs w:val="24"/>
          <w:rtl w:val="0"/>
        </w:rPr>
        <w:t xml:space="preserve">smart parking</w:t>
      </w:r>
      <w:r w:rsidDel="00000000" w:rsidR="00000000" w:rsidRPr="00000000">
        <w:rPr>
          <w:sz w:val="24"/>
          <w:szCs w:val="24"/>
          <w:rtl w:val="0"/>
        </w:rPr>
        <w:t xml:space="preserve"> proporcionó evidencia empírica del valor agregado que sistemas como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pueden generar en contextos institucionales. Los autores documentaron casos de estudio en instituciones alemanas donde implementaciones similares mejoraron significativamente la experiencia del usuario y la eficiencia operativa.</w:t>
      </w:r>
    </w:p>
    <w:p w:rsidR="00000000" w:rsidDel="00000000" w:rsidP="00000000" w:rsidRDefault="00000000" w:rsidRPr="00000000" w14:paraId="00000028">
      <w:pPr>
        <w:spacing w:line="360" w:lineRule="auto"/>
        <w:ind w:firstLine="720"/>
        <w:rPr>
          <w:sz w:val="24"/>
          <w:szCs w:val="24"/>
        </w:rPr>
      </w:pPr>
      <w:r w:rsidDel="00000000" w:rsidR="00000000" w:rsidRPr="00000000">
        <w:rPr>
          <w:sz w:val="24"/>
          <w:szCs w:val="24"/>
          <w:rtl w:val="0"/>
        </w:rPr>
        <w:t xml:space="preserve">Esta investigación validó la decisión de implementar funcionalidades avanzadas como análisis de patrones de uso, predicción de disponibilidad y gestión temporal automatizada. Los indicadores de éxito identificados por Zimmermann et al. </w:t>
      </w:r>
      <w:r w:rsidDel="00000000" w:rsidR="00000000" w:rsidRPr="00000000">
        <w:rPr>
          <w:sz w:val="24"/>
          <w:szCs w:val="24"/>
          <w:rtl w:val="0"/>
        </w:rPr>
        <w:t xml:space="preserve">se incorporaron</w:t>
      </w:r>
      <w:r w:rsidDel="00000000" w:rsidR="00000000" w:rsidRPr="00000000">
        <w:rPr>
          <w:sz w:val="24"/>
          <w:szCs w:val="24"/>
          <w:rtl w:val="0"/>
        </w:rPr>
        <w:t xml:space="preserve"> como métricas de evaluación en la vista de estadísticas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permitiendo monitoreo continuo del impacto del sistema.</w:t>
      </w:r>
    </w:p>
    <w:p w:rsidR="00000000" w:rsidDel="00000000" w:rsidP="00000000" w:rsidRDefault="00000000" w:rsidRPr="00000000" w14:paraId="00000029">
      <w:pPr>
        <w:spacing w:line="360" w:lineRule="auto"/>
        <w:rPr>
          <w:b w:val="1"/>
          <w:bCs w:val="1"/>
          <w:i w:val="1"/>
          <w:iCs w:val="1"/>
          <w:sz w:val="28"/>
          <w:szCs w:val="28"/>
        </w:rPr>
      </w:pPr>
      <w:r w:rsidDel="00000000" w:rsidR="00000000" w:rsidRPr="00000000">
        <w:rPr>
          <w:b w:val="1"/>
          <w:bCs w:val="1"/>
          <w:i w:val="1"/>
          <w:iCs w:val="1"/>
          <w:sz w:val="28"/>
          <w:szCs w:val="28"/>
          <w:rtl w:val="0"/>
        </w:rPr>
        <w:t xml:space="preserve">Tecnologías IoT avanzadas</w:t>
      </w:r>
    </w:p>
    <w:p w:rsidR="00000000" w:rsidDel="00000000" w:rsidP="00000000" w:rsidRDefault="00000000" w:rsidRPr="00000000" w14:paraId="0000002A">
      <w:pPr>
        <w:spacing w:line="360" w:lineRule="auto"/>
        <w:ind w:firstLine="720"/>
        <w:rPr>
          <w:sz w:val="24"/>
          <w:szCs w:val="24"/>
        </w:rPr>
      </w:pPr>
      <w:r w:rsidDel="00000000" w:rsidR="00000000" w:rsidRPr="00000000">
        <w:rPr>
          <w:sz w:val="24"/>
          <w:szCs w:val="24"/>
          <w:rtl w:val="0"/>
        </w:rPr>
        <w:t xml:space="preserve">El trabajo de Shah et al. (2025) sobre sistemas IoT integrados con reconocimiento automático de placas y gestión de pagos estableció la visión tecnológica futura para la evolución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Aunque el prototipo actual no incluye estas funcionalidades avanzadas, la arquitectura modular implementada permite la incorporación futura de estos componentes sin reestructuración fundamental del sistema.</w:t>
      </w:r>
    </w:p>
    <w:p w:rsidR="00000000" w:rsidDel="00000000" w:rsidP="00000000" w:rsidRDefault="00000000" w:rsidRPr="00000000" w14:paraId="0000002B">
      <w:pPr>
        <w:spacing w:line="360" w:lineRule="auto"/>
        <w:ind w:firstLine="720"/>
        <w:rPr>
          <w:sz w:val="24"/>
          <w:szCs w:val="24"/>
        </w:rPr>
      </w:pPr>
      <w:r w:rsidDel="00000000" w:rsidR="00000000" w:rsidRPr="00000000">
        <w:rPr>
          <w:sz w:val="24"/>
          <w:szCs w:val="24"/>
          <w:rtl w:val="0"/>
        </w:rPr>
        <w:t xml:space="preserve">La investigación de Shah et al. influyó en las decisiones de diseño relacionadas con escalabilidad y extensibilidad, garantizando que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pueda evolucionar hacia implementaciones más sofisticadas según las necesidades institucionales futuras.</w:t>
      </w:r>
    </w:p>
    <w:p w:rsidR="00000000" w:rsidDel="00000000" w:rsidP="00000000" w:rsidRDefault="00000000" w:rsidRPr="00000000" w14:paraId="0000002C">
      <w:pPr>
        <w:spacing w:line="360" w:lineRule="auto"/>
        <w:rPr>
          <w:b w:val="1"/>
          <w:bCs w:val="1"/>
          <w:i w:val="1"/>
          <w:iCs w:val="1"/>
          <w:sz w:val="28"/>
          <w:szCs w:val="28"/>
        </w:rPr>
      </w:pPr>
      <w:r w:rsidDel="00000000" w:rsidR="00000000" w:rsidRPr="00000000">
        <w:rPr>
          <w:b w:val="1"/>
          <w:bCs w:val="1"/>
          <w:i w:val="1"/>
          <w:iCs w:val="1"/>
          <w:sz w:val="28"/>
          <w:szCs w:val="28"/>
          <w:rtl w:val="0"/>
        </w:rPr>
        <w:t xml:space="preserve">Contexto Institucional y Crecimiento Demográfico</w:t>
      </w:r>
    </w:p>
    <w:p w:rsidR="00000000" w:rsidDel="00000000" w:rsidP="00000000" w:rsidRDefault="00000000" w:rsidRPr="00000000" w14:paraId="0000002D">
      <w:pPr>
        <w:spacing w:line="360" w:lineRule="auto"/>
        <w:ind w:firstLine="720"/>
        <w:rPr>
          <w:sz w:val="24"/>
          <w:szCs w:val="24"/>
        </w:rPr>
      </w:pPr>
      <w:r w:rsidDel="00000000" w:rsidR="00000000" w:rsidRPr="00000000">
        <w:rPr>
          <w:sz w:val="24"/>
          <w:szCs w:val="24"/>
          <w:rtl w:val="0"/>
        </w:rPr>
        <w:t xml:space="preserve">La investigación de Martínez (2014) sobre el crecimiento de matrícula en UABC Tijuana proporcionó evidencia cuantitativa del problema que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pretende resolver. El crecimiento documentado del 41.49% en cinco años estableció la urgencia de soluciones tecnológicas para optimización de recursos de estacionamiento existentes, justificando la inversión en sistemas inteligentes.</w:t>
      </w:r>
    </w:p>
    <w:p w:rsidR="00000000" w:rsidDel="00000000" w:rsidP="00000000" w:rsidRDefault="00000000" w:rsidRPr="00000000" w14:paraId="0000002E">
      <w:pPr>
        <w:spacing w:line="360" w:lineRule="auto"/>
        <w:ind w:firstLine="720"/>
        <w:rPr>
          <w:sz w:val="24"/>
          <w:szCs w:val="24"/>
        </w:rPr>
      </w:pPr>
      <w:r w:rsidDel="00000000" w:rsidR="00000000" w:rsidRPr="00000000">
        <w:rPr>
          <w:sz w:val="24"/>
          <w:szCs w:val="24"/>
          <w:rtl w:val="0"/>
        </w:rPr>
        <w:t xml:space="preserve">Los estudios de Hurtado (2022) sobre el estado del arte en gestión de estacionamientos complementaron esta perspectiva local con análisis comparativo internacional, demostrando que el problema trasciende contextos geográficos específicos y requiere soluciones escalables como la propuesta.</w:t>
      </w:r>
    </w:p>
    <w:p w:rsidR="00000000" w:rsidDel="00000000" w:rsidP="00000000" w:rsidRDefault="00000000" w:rsidRPr="00000000" w14:paraId="0000002F">
      <w:pPr>
        <w:spacing w:line="360" w:lineRule="auto"/>
        <w:rPr>
          <w:b w:val="1"/>
          <w:bCs w:val="1"/>
          <w:i w:val="1"/>
          <w:iCs w:val="1"/>
          <w:sz w:val="28"/>
          <w:szCs w:val="28"/>
        </w:rPr>
      </w:pPr>
      <w:r w:rsidDel="00000000" w:rsidR="00000000" w:rsidRPr="00000000">
        <w:rPr>
          <w:b w:val="1"/>
          <w:bCs w:val="1"/>
          <w:i w:val="1"/>
          <w:iCs w:val="1"/>
          <w:sz w:val="28"/>
          <w:szCs w:val="28"/>
          <w:rtl w:val="0"/>
        </w:rPr>
        <w:t xml:space="preserve">Especificaciones técnicas y plataformas de desarrollo</w:t>
      </w:r>
    </w:p>
    <w:p w:rsidR="00000000" w:rsidDel="00000000" w:rsidP="00000000" w:rsidRDefault="00000000" w:rsidRPr="00000000" w14:paraId="00000030">
      <w:pPr>
        <w:spacing w:line="360" w:lineRule="auto"/>
        <w:ind w:firstLine="720"/>
        <w:rPr>
          <w:sz w:val="24"/>
          <w:szCs w:val="24"/>
        </w:rPr>
      </w:pPr>
      <w:r w:rsidDel="00000000" w:rsidR="00000000" w:rsidRPr="00000000">
        <w:rPr>
          <w:sz w:val="24"/>
          <w:szCs w:val="24"/>
          <w:rtl w:val="0"/>
        </w:rPr>
        <w:t xml:space="preserve">La documentación técnica de STMicroelectronics (2025) sobre placas Nucleo proporcionó las especificaciones detalladas del microcontrolador STM32F767ZI utilizado en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Esta documentación oficial garantizó configuración óptima de periféricos y aprovechamiento máximo de capacidades del procesador ARM Cortex-M7 de 216 MHz. Las recomendaciones de configuración de Ethernet RMII, timers para PWM y comunicación SPI para pantalla OLED se basaron directamente en las especificaciones y ejemplos proporcionados por STMicroelectronics, asegurando estabilidad y confiabilidad del sistema embebido.</w:t>
      </w:r>
    </w:p>
    <w:p w:rsidR="00000000" w:rsidDel="00000000" w:rsidP="00000000" w:rsidRDefault="00000000" w:rsidRPr="00000000" w14:paraId="00000031">
      <w:pPr>
        <w:spacing w:line="360" w:lineRule="auto"/>
        <w:rPr>
          <w:b w:val="1"/>
          <w:bCs w:val="1"/>
          <w:i w:val="1"/>
          <w:iCs w:val="1"/>
          <w:sz w:val="28"/>
          <w:szCs w:val="28"/>
        </w:rPr>
      </w:pPr>
      <w:r w:rsidDel="00000000" w:rsidR="00000000" w:rsidRPr="00000000">
        <w:rPr>
          <w:rtl w:val="0"/>
        </w:rPr>
      </w:r>
    </w:p>
    <w:p w:rsidR="00000000" w:rsidDel="00000000" w:rsidP="00000000" w:rsidRDefault="00000000" w:rsidRPr="00000000" w14:paraId="00000032">
      <w:pPr>
        <w:spacing w:line="360" w:lineRule="auto"/>
        <w:rPr>
          <w:b w:val="1"/>
          <w:bCs w:val="1"/>
          <w:i w:val="1"/>
          <w:iCs w:val="1"/>
          <w:sz w:val="28"/>
          <w:szCs w:val="28"/>
        </w:rPr>
      </w:pPr>
      <w:r w:rsidDel="00000000" w:rsidR="00000000" w:rsidRPr="00000000">
        <w:rPr>
          <w:b w:val="1"/>
          <w:bCs w:val="1"/>
          <w:i w:val="1"/>
          <w:iCs w:val="1"/>
          <w:sz w:val="28"/>
          <w:szCs w:val="28"/>
          <w:rtl w:val="0"/>
        </w:rPr>
        <w:t xml:space="preserve">Aplicaciones educativas especializadas</w:t>
      </w:r>
    </w:p>
    <w:p w:rsidR="00000000" w:rsidDel="00000000" w:rsidP="00000000" w:rsidRDefault="00000000" w:rsidRPr="00000000" w14:paraId="00000033">
      <w:pPr>
        <w:spacing w:line="360" w:lineRule="auto"/>
        <w:ind w:firstLine="720"/>
        <w:rPr>
          <w:sz w:val="24"/>
          <w:szCs w:val="24"/>
        </w:rPr>
      </w:pPr>
      <w:r w:rsidDel="00000000" w:rsidR="00000000" w:rsidRPr="00000000">
        <w:rPr>
          <w:sz w:val="24"/>
          <w:szCs w:val="24"/>
          <w:rtl w:val="0"/>
        </w:rPr>
        <w:t xml:space="preserve">La investigación de Parklio (2023) sobre soluciones de gestión de estacionamiento específicamente para instituciones educativas proporcionó </w:t>
      </w:r>
      <w:r w:rsidDel="00000000" w:rsidR="00000000" w:rsidRPr="00000000">
        <w:rPr>
          <w:i w:val="1"/>
          <w:iCs w:val="1"/>
          <w:sz w:val="24"/>
          <w:szCs w:val="24"/>
          <w:rtl w:val="0"/>
        </w:rPr>
        <w:t xml:space="preserve">benchmarks</w:t>
      </w:r>
      <w:r w:rsidDel="00000000" w:rsidR="00000000" w:rsidRPr="00000000">
        <w:rPr>
          <w:sz w:val="24"/>
          <w:szCs w:val="24"/>
          <w:rtl w:val="0"/>
        </w:rPr>
        <w:t xml:space="preserve"> de funcionalidad y expectativas de usuarios en contextos académicos. Esta investigación influyó en decisiones de diseño de interfaz usuario, selección de métricas de estadísticas y definición de flujos de trabajo para reservas.</w:t>
      </w:r>
    </w:p>
    <w:p w:rsidR="00000000" w:rsidDel="00000000" w:rsidP="00000000" w:rsidRDefault="00000000" w:rsidRPr="00000000" w14:paraId="00000034">
      <w:pPr>
        <w:spacing w:line="360" w:lineRule="auto"/>
        <w:ind w:firstLine="720"/>
        <w:rPr>
          <w:sz w:val="24"/>
          <w:szCs w:val="24"/>
        </w:rPr>
      </w:pPr>
      <w:r w:rsidDel="00000000" w:rsidR="00000000" w:rsidRPr="00000000">
        <w:rPr>
          <w:sz w:val="24"/>
          <w:szCs w:val="24"/>
          <w:rtl w:val="0"/>
        </w:rPr>
        <w:t xml:space="preserve">Los estándares de usabilidad y accesibilidad identificados por Parklio se incorporaron en el desarrollo de la interfaz web Vue.js, garantizando que estudiantes y personal administrativo puedan utilizar el sistema intuitivamente sin capacitación extensiva.</w:t>
      </w:r>
    </w:p>
    <w:p w:rsidR="00000000" w:rsidDel="00000000" w:rsidP="00000000" w:rsidRDefault="00000000" w:rsidRPr="00000000" w14:paraId="00000035">
      <w:pPr>
        <w:spacing w:line="360" w:lineRule="auto"/>
        <w:rPr>
          <w:b w:val="1"/>
          <w:bCs w:val="1"/>
          <w:sz w:val="28"/>
          <w:szCs w:val="28"/>
        </w:rPr>
      </w:pPr>
      <w:r w:rsidDel="00000000" w:rsidR="00000000" w:rsidRPr="00000000">
        <w:rPr>
          <w:b w:val="1"/>
          <w:bCs w:val="1"/>
          <w:sz w:val="28"/>
          <w:szCs w:val="28"/>
          <w:rtl w:val="0"/>
        </w:rPr>
        <w:t xml:space="preserve">Conclusiones y resultados finales</w:t>
      </w:r>
    </w:p>
    <w:p w:rsidR="00000000" w:rsidDel="00000000" w:rsidP="00000000" w:rsidRDefault="00000000" w:rsidRPr="00000000" w14:paraId="00000036">
      <w:pPr>
        <w:spacing w:line="360" w:lineRule="auto"/>
        <w:ind w:firstLine="720"/>
        <w:rPr>
          <w:sz w:val="24"/>
          <w:szCs w:val="24"/>
        </w:rPr>
      </w:pPr>
      <w:r w:rsidDel="00000000" w:rsidR="00000000" w:rsidRPr="00000000">
        <w:rPr>
          <w:sz w:val="24"/>
          <w:szCs w:val="24"/>
          <w:rtl w:val="0"/>
        </w:rPr>
        <w:t xml:space="preserve">El análisis bibliográfico revela que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se fundamenta en una base teórica sólida y diversa que abarca desde principios de sostenibilidad ambiental hasta especificaciones técnicas de microcontroladores. La integración coherente de estas múltiples perspectivas bibliográficas resultó en un sistema tecnológicamente robusto, ambientalmente responsable y funcionalmente completo.</w:t>
      </w:r>
    </w:p>
    <w:p w:rsidR="00000000" w:rsidDel="00000000" w:rsidP="00000000" w:rsidRDefault="00000000" w:rsidRPr="00000000" w14:paraId="00000037">
      <w:pPr>
        <w:spacing w:line="360" w:lineRule="auto"/>
        <w:ind w:firstLine="720"/>
        <w:rPr>
          <w:sz w:val="24"/>
          <w:szCs w:val="24"/>
        </w:rPr>
      </w:pPr>
      <w:r w:rsidDel="00000000" w:rsidR="00000000" w:rsidRPr="00000000">
        <w:rPr>
          <w:sz w:val="24"/>
          <w:szCs w:val="24"/>
          <w:rtl w:val="0"/>
        </w:rPr>
        <w:t xml:space="preserve">La convergencia de investigaciones en ciudades inteligentes, sistemas IoT, tecnologías de detección y gestión de recursos urbanos proporcionó el marco conceptual necesario para abordar la problemática de estacionamiento en instituciones educativas desde una perspectiva holística. Cada referencia bibliográfica contribuyó a elementos específicos que se materializaron en funcionalidades concretas del sistema implementado.</w:t>
      </w:r>
    </w:p>
    <w:p w:rsidR="00000000" w:rsidDel="00000000" w:rsidP="00000000" w:rsidRDefault="00000000" w:rsidRPr="00000000" w14:paraId="00000038">
      <w:pPr>
        <w:spacing w:line="360" w:lineRule="auto"/>
        <w:ind w:firstLine="720"/>
        <w:rPr>
          <w:sz w:val="24"/>
          <w:szCs w:val="24"/>
        </w:rPr>
      </w:pPr>
      <w:r w:rsidDel="00000000" w:rsidR="00000000" w:rsidRPr="00000000">
        <w:rPr>
          <w:sz w:val="24"/>
          <w:szCs w:val="24"/>
          <w:rtl w:val="0"/>
        </w:rPr>
        <w:t xml:space="preserve">La validación empírica proporcionada por las investigaciones analizadas confirma que las decisiones tecnológicas tomadas durante el desarrollo de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se alinean con las mejores prácticas identificadas en la literatura especializada. La selección de microcontroladores STM32, sensores inductivos, comunicación MQTT y desarrollo web reactivo refleja consensos establecidos en la comunidad científica internacional.</w:t>
      </w:r>
    </w:p>
    <w:p w:rsidR="00000000" w:rsidDel="00000000" w:rsidP="00000000" w:rsidRDefault="00000000" w:rsidRPr="00000000" w14:paraId="00000039">
      <w:pPr>
        <w:spacing w:line="360" w:lineRule="auto"/>
        <w:ind w:firstLine="720"/>
        <w:rPr>
          <w:sz w:val="24"/>
          <w:szCs w:val="24"/>
        </w:rPr>
      </w:pPr>
      <w:r w:rsidDel="00000000" w:rsidR="00000000" w:rsidRPr="00000000">
        <w:rPr>
          <w:sz w:val="24"/>
          <w:szCs w:val="24"/>
          <w:rtl w:val="0"/>
        </w:rPr>
        <w:t xml:space="preserve">La dimensión de sostenibilidad ambiental, respaldada por múltiples investigaciones analizadas, posiciona a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no solo como una solución tecnológica, sino como una contribución tangible a los objetivos de desarrollo sostenible en contextos urbanos y educativos. La reducción documentada de emisiones vehiculares y optimización de tráfico representa un impacto ambiental medible y significativo.</w:t>
      </w:r>
    </w:p>
    <w:p w:rsidR="00000000" w:rsidDel="00000000" w:rsidP="00000000" w:rsidRDefault="00000000" w:rsidRPr="00000000" w14:paraId="0000003A">
      <w:pPr>
        <w:spacing w:line="360" w:lineRule="auto"/>
        <w:ind w:firstLine="720"/>
        <w:rPr>
          <w:sz w:val="24"/>
          <w:szCs w:val="24"/>
        </w:rPr>
      </w:pPr>
      <w:r w:rsidDel="00000000" w:rsidR="00000000" w:rsidRPr="00000000">
        <w:rPr>
          <w:sz w:val="24"/>
          <w:szCs w:val="24"/>
          <w:rtl w:val="0"/>
        </w:rPr>
        <w:t xml:space="preserve">La escalabilidad y extensibilidad del sistema, fundamentadas en las investigaciones sobre ecosistemas de servicio especializados, garantizan que </w:t>
      </w:r>
      <w:r w:rsidDel="00000000" w:rsidR="00000000" w:rsidRPr="00000000">
        <w:rPr>
          <w:sz w:val="24"/>
          <w:szCs w:val="24"/>
          <w:rtl w:val="0"/>
        </w:rPr>
        <w:t xml:space="preserve">CETYSParking</w:t>
      </w:r>
      <w:r w:rsidDel="00000000" w:rsidR="00000000" w:rsidRPr="00000000">
        <w:rPr>
          <w:sz w:val="24"/>
          <w:szCs w:val="24"/>
          <w:rtl w:val="0"/>
        </w:rPr>
        <w:t xml:space="preserve"> pueda evolucionar según las necesidades cambiantes de instituciones educativas e incorporar tecnologías emergentes como reconocimiento automático de placas y sistemas de pago integrados.</w:t>
      </w:r>
    </w:p>
    <w:p w:rsidR="00000000" w:rsidDel="00000000" w:rsidP="00000000" w:rsidRDefault="00000000" w:rsidRPr="00000000" w14:paraId="0000003B">
      <w:pPr>
        <w:spacing w:line="360" w:lineRule="auto"/>
        <w:ind w:firstLine="720"/>
        <w:rPr>
          <w:sz w:val="24"/>
          <w:szCs w:val="24"/>
        </w:rPr>
      </w:pPr>
      <w:r w:rsidDel="00000000" w:rsidR="00000000" w:rsidRPr="00000000">
        <w:rPr>
          <w:sz w:val="24"/>
          <w:szCs w:val="24"/>
          <w:rtl w:val="0"/>
        </w:rPr>
        <w:t xml:space="preserve">En síntesis, la base bibliográfica analizada no sólo justifica las decisiones técnicas implementadas, sino que también establece una trayectoria clara para el desarrollo futuro del sistema, posicionando a </w:t>
      </w:r>
      <w:r w:rsidDel="00000000" w:rsidR="00000000" w:rsidRPr="00000000">
        <w:rPr>
          <w:sz w:val="24"/>
          <w:szCs w:val="24"/>
          <w:rtl w:val="0"/>
        </w:rPr>
        <w:t xml:space="preserve">CETYS</w:t>
      </w:r>
      <w:r w:rsidDel="00000000" w:rsidR="00000000" w:rsidRPr="00000000">
        <w:rPr>
          <w:i w:val="1"/>
          <w:iCs w:val="1"/>
          <w:sz w:val="24"/>
          <w:szCs w:val="24"/>
          <w:rtl w:val="0"/>
        </w:rPr>
        <w:t xml:space="preserve">Parking</w:t>
      </w:r>
      <w:r w:rsidDel="00000000" w:rsidR="00000000" w:rsidRPr="00000000">
        <w:rPr>
          <w:sz w:val="24"/>
          <w:szCs w:val="24"/>
          <w:rtl w:val="0"/>
        </w:rPr>
        <w:t xml:space="preserve"> como una contribución significativa al estado del arte en gestión inteligente de estacionamientos para instituciones educativas.</w:t>
      </w:r>
    </w:p>
    <w:p w:rsidR="00000000" w:rsidDel="00000000" w:rsidP="00000000" w:rsidRDefault="00000000" w:rsidRPr="00000000" w14:paraId="0000003C">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360" w:lineRule="auto"/>
        <w:rPr>
          <w:b w:val="1"/>
          <w:bCs w:val="1"/>
          <w:sz w:val="28"/>
          <w:szCs w:val="28"/>
        </w:rPr>
      </w:pPr>
      <w:r w:rsidDel="00000000" w:rsidR="00000000" w:rsidRPr="00000000">
        <w:rPr>
          <w:b w:val="1"/>
          <w:bCs w:val="1"/>
          <w:sz w:val="28"/>
          <w:szCs w:val="28"/>
          <w:rtl w:val="0"/>
        </w:rPr>
        <w:t xml:space="preserve">Bibliografía</w:t>
      </w:r>
    </w:p>
    <w:p w:rsidR="00000000" w:rsidDel="00000000" w:rsidP="00000000" w:rsidRDefault="00000000" w:rsidRPr="00000000" w14:paraId="0000003E">
      <w:pPr>
        <w:spacing w:line="360" w:lineRule="auto"/>
        <w:ind w:left="720"/>
        <w:rPr>
          <w:sz w:val="24"/>
          <w:szCs w:val="24"/>
        </w:rPr>
      </w:pPr>
      <w:r w:rsidDel="00000000" w:rsidR="00000000" w:rsidRPr="00000000">
        <w:rPr>
          <w:sz w:val="24"/>
          <w:szCs w:val="24"/>
          <w:rtl w:val="0"/>
        </w:rPr>
        <w:t xml:space="preserve">Brauer, B., Eisel, M. y Kolbe, L. M. (2015). </w:t>
      </w:r>
      <w:r w:rsidDel="00000000" w:rsidR="00000000" w:rsidRPr="00000000">
        <w:rPr>
          <w:i w:val="1"/>
          <w:iCs w:val="1"/>
          <w:sz w:val="24"/>
          <w:szCs w:val="24"/>
          <w:rtl w:val="0"/>
        </w:rPr>
        <w:t xml:space="preserve">The state of the art in smart city research - a literature analysis on green IS solutions to foster environmental sustainability. Pacific Asia Conference on Information Systems.</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https://www.researchgate.net/publication/279188454_The_State_of_the_Art_in_Smart_City_Research_-_A_Literature_Analysis_on_Green_IS_Solutions_to_Foster_Environmental_Sustainability</w:t>
        </w:r>
      </w:hyperlink>
      <w:r w:rsidDel="00000000" w:rsidR="00000000" w:rsidRPr="00000000">
        <w:rPr>
          <w:rtl w:val="0"/>
        </w:rPr>
      </w:r>
    </w:p>
    <w:p w:rsidR="00000000" w:rsidDel="00000000" w:rsidP="00000000" w:rsidRDefault="00000000" w:rsidRPr="00000000" w14:paraId="0000003F">
      <w:pPr>
        <w:spacing w:line="360" w:lineRule="auto"/>
        <w:ind w:left="720"/>
        <w:rPr>
          <w:sz w:val="24"/>
          <w:szCs w:val="24"/>
        </w:rPr>
      </w:pPr>
      <w:r w:rsidDel="00000000" w:rsidR="00000000" w:rsidRPr="00000000">
        <w:rPr>
          <w:sz w:val="24"/>
          <w:szCs w:val="24"/>
          <w:rtl w:val="0"/>
        </w:rPr>
        <w:t xml:space="preserve">Dey, K. C., Rayamajhi, A., Chowdhury, M., Bhavsar, P. y Martin, J. (2023). A review of smart parking systems.</w:t>
      </w:r>
      <w:r w:rsidDel="00000000" w:rsidR="00000000" w:rsidRPr="00000000">
        <w:rPr>
          <w:i w:val="1"/>
          <w:iCs w:val="1"/>
          <w:sz w:val="24"/>
          <w:szCs w:val="24"/>
          <w:rtl w:val="0"/>
        </w:rPr>
        <w:t xml:space="preserve"> Journal of Intelligent Transportation Systems, 27</w:t>
      </w:r>
      <w:r w:rsidDel="00000000" w:rsidR="00000000" w:rsidRPr="00000000">
        <w:rPr>
          <w:sz w:val="24"/>
          <w:szCs w:val="24"/>
          <w:rtl w:val="0"/>
        </w:rPr>
        <w:t xml:space="preserve">(6), 789-806.</w:t>
      </w:r>
    </w:p>
    <w:p w:rsidR="00000000" w:rsidDel="00000000" w:rsidP="00000000" w:rsidRDefault="00000000" w:rsidRPr="00000000" w14:paraId="00000040">
      <w:pPr>
        <w:spacing w:line="360" w:lineRule="auto"/>
        <w:ind w:left="720"/>
        <w:rPr>
          <w:sz w:val="24"/>
          <w:szCs w:val="24"/>
        </w:rPr>
      </w:pPr>
      <w:r w:rsidDel="00000000" w:rsidR="00000000" w:rsidRPr="00000000">
        <w:rPr>
          <w:sz w:val="24"/>
          <w:szCs w:val="24"/>
          <w:rtl w:val="0"/>
        </w:rPr>
        <w:t xml:space="preserve">Geng, Y., Cassandras, C. G. (2013). New “Smart Parking” System Based on Resource Allocation and Reservations. </w:t>
      </w:r>
      <w:r w:rsidDel="00000000" w:rsidR="00000000" w:rsidRPr="00000000">
        <w:rPr>
          <w:i w:val="1"/>
          <w:iCs w:val="1"/>
          <w:sz w:val="24"/>
          <w:szCs w:val="24"/>
          <w:rtl w:val="0"/>
        </w:rPr>
        <w:t xml:space="preserve">IEEE Transactions on Intelligent Transportation Systems, 14</w:t>
      </w:r>
      <w:r w:rsidDel="00000000" w:rsidR="00000000" w:rsidRPr="00000000">
        <w:rPr>
          <w:sz w:val="24"/>
          <w:szCs w:val="24"/>
          <w:rtl w:val="0"/>
        </w:rPr>
        <w:t xml:space="preserve">(3), 1129-1139. </w:t>
      </w:r>
      <w:hyperlink r:id="rId8">
        <w:r w:rsidDel="00000000" w:rsidR="00000000" w:rsidRPr="00000000">
          <w:rPr>
            <w:color w:val="1155cc"/>
            <w:sz w:val="24"/>
            <w:szCs w:val="24"/>
            <w:u w:val="single"/>
            <w:rtl w:val="0"/>
          </w:rPr>
          <w:t xml:space="preserve">https://ieeexplore-ieee-org.ebiblio.cetys.mx/stamp/stamp.jsp?tp=&amp;arnumber=6492250</w:t>
        </w:r>
      </w:hyperlink>
      <w:r w:rsidDel="00000000" w:rsidR="00000000" w:rsidRPr="00000000">
        <w:rPr>
          <w:rtl w:val="0"/>
        </w:rPr>
      </w:r>
    </w:p>
    <w:p w:rsidR="00000000" w:rsidDel="00000000" w:rsidP="00000000" w:rsidRDefault="00000000" w:rsidRPr="00000000" w14:paraId="00000041">
      <w:pPr>
        <w:spacing w:line="360" w:lineRule="auto"/>
        <w:ind w:left="720"/>
        <w:rPr>
          <w:sz w:val="24"/>
          <w:szCs w:val="24"/>
        </w:rPr>
      </w:pPr>
      <w:r w:rsidDel="00000000" w:rsidR="00000000" w:rsidRPr="00000000">
        <w:rPr>
          <w:sz w:val="24"/>
          <w:szCs w:val="24"/>
          <w:rtl w:val="0"/>
        </w:rPr>
        <w:t xml:space="preserve">Hurtado, A. E. (2022). Estado del arte de la gestión del estacionamiento. </w:t>
      </w:r>
      <w:r w:rsidDel="00000000" w:rsidR="00000000" w:rsidRPr="00000000">
        <w:rPr>
          <w:i w:val="1"/>
          <w:iCs w:val="1"/>
          <w:sz w:val="24"/>
          <w:szCs w:val="24"/>
          <w:rtl w:val="0"/>
        </w:rPr>
        <w:t xml:space="preserve">Revista Ciudades, Estados y Política, 9</w:t>
      </w:r>
      <w:r w:rsidDel="00000000" w:rsidR="00000000" w:rsidRPr="00000000">
        <w:rPr>
          <w:sz w:val="24"/>
          <w:szCs w:val="24"/>
          <w:rtl w:val="0"/>
        </w:rPr>
        <w:t xml:space="preserve">(3), 139-155.  </w:t>
      </w:r>
      <w:hyperlink r:id="rId9">
        <w:r w:rsidDel="00000000" w:rsidR="00000000" w:rsidRPr="00000000">
          <w:rPr>
            <w:color w:val="1155cc"/>
            <w:sz w:val="24"/>
            <w:szCs w:val="24"/>
            <w:u w:val="single"/>
            <w:rtl w:val="0"/>
          </w:rPr>
          <w:t xml:space="preserve">https://revistas.unal.edu.co/index.php/revcep/article/view/98753/85288</w:t>
        </w:r>
      </w:hyperlink>
      <w:r w:rsidDel="00000000" w:rsidR="00000000" w:rsidRPr="00000000">
        <w:rPr>
          <w:rtl w:val="0"/>
        </w:rPr>
      </w:r>
    </w:p>
    <w:p w:rsidR="00000000" w:rsidDel="00000000" w:rsidP="00000000" w:rsidRDefault="00000000" w:rsidRPr="00000000" w14:paraId="00000042">
      <w:pPr>
        <w:spacing w:line="360" w:lineRule="auto"/>
        <w:ind w:left="720"/>
        <w:rPr>
          <w:sz w:val="24"/>
          <w:szCs w:val="24"/>
        </w:rPr>
      </w:pPr>
      <w:r w:rsidDel="00000000" w:rsidR="00000000" w:rsidRPr="00000000">
        <w:rPr>
          <w:sz w:val="24"/>
          <w:szCs w:val="24"/>
          <w:rtl w:val="0"/>
        </w:rPr>
        <w:t xml:space="preserve">Martínez, Y. (2014, 8 de junio).</w:t>
      </w:r>
      <w:r w:rsidDel="00000000" w:rsidR="00000000" w:rsidRPr="00000000">
        <w:rPr>
          <w:i w:val="1"/>
          <w:iCs w:val="1"/>
          <w:sz w:val="24"/>
          <w:szCs w:val="24"/>
          <w:rtl w:val="0"/>
        </w:rPr>
        <w:t xml:space="preserve"> Matrícula de UABC con mayor crecimiento en Tijuana</w:t>
      </w:r>
      <w:r w:rsidDel="00000000" w:rsidR="00000000" w:rsidRPr="00000000">
        <w:rPr>
          <w:sz w:val="24"/>
          <w:szCs w:val="24"/>
          <w:rtl w:val="0"/>
        </w:rPr>
        <w:t xml:space="preserve">. El Imparcial. </w:t>
      </w:r>
      <w:hyperlink r:id="rId10">
        <w:r w:rsidDel="00000000" w:rsidR="00000000" w:rsidRPr="00000000">
          <w:rPr>
            <w:color w:val="1155cc"/>
            <w:sz w:val="24"/>
            <w:szCs w:val="24"/>
            <w:u w:val="single"/>
            <w:rtl w:val="0"/>
          </w:rPr>
          <w:t xml:space="preserve">https://www.elimparcial.com/tij/tijuana/2014/06/09/matricula-de-uabc-con-mayor-crecimiento-en-tijuana/</w:t>
        </w:r>
      </w:hyperlink>
      <w:r w:rsidDel="00000000" w:rsidR="00000000" w:rsidRPr="00000000">
        <w:rPr>
          <w:rtl w:val="0"/>
        </w:rPr>
      </w:r>
    </w:p>
    <w:p w:rsidR="00000000" w:rsidDel="00000000" w:rsidP="00000000" w:rsidRDefault="00000000" w:rsidRPr="00000000" w14:paraId="00000043">
      <w:pPr>
        <w:spacing w:line="360" w:lineRule="auto"/>
        <w:ind w:left="720"/>
        <w:rPr>
          <w:sz w:val="24"/>
          <w:szCs w:val="24"/>
        </w:rPr>
      </w:pPr>
      <w:r w:rsidDel="00000000" w:rsidR="00000000" w:rsidRPr="00000000">
        <w:rPr>
          <w:sz w:val="24"/>
          <w:szCs w:val="24"/>
          <w:rtl w:val="0"/>
        </w:rPr>
        <w:t xml:space="preserve">Oh, C., Ritchie, S. G. y Jeng, S. T. (2011). Application of inductive loops as wheel detectors. </w:t>
      </w:r>
      <w:r w:rsidDel="00000000" w:rsidR="00000000" w:rsidRPr="00000000">
        <w:rPr>
          <w:i w:val="1"/>
          <w:iCs w:val="1"/>
          <w:sz w:val="24"/>
          <w:szCs w:val="24"/>
          <w:rtl w:val="0"/>
        </w:rPr>
        <w:t xml:space="preserve">Transportation Research Part C: Emerging Technologies, 19</w:t>
      </w:r>
      <w:r w:rsidDel="00000000" w:rsidR="00000000" w:rsidRPr="00000000">
        <w:rPr>
          <w:sz w:val="24"/>
          <w:szCs w:val="24"/>
          <w:rtl w:val="0"/>
        </w:rPr>
        <w:t xml:space="preserve">(6), 1109-1126.</w:t>
      </w:r>
    </w:p>
    <w:p w:rsidR="00000000" w:rsidDel="00000000" w:rsidP="00000000" w:rsidRDefault="00000000" w:rsidRPr="00000000" w14:paraId="00000044">
      <w:pPr>
        <w:spacing w:line="360" w:lineRule="auto"/>
        <w:ind w:left="720"/>
        <w:rPr>
          <w:sz w:val="24"/>
          <w:szCs w:val="24"/>
        </w:rPr>
      </w:pPr>
      <w:r w:rsidDel="00000000" w:rsidR="00000000" w:rsidRPr="00000000">
        <w:rPr>
          <w:sz w:val="24"/>
          <w:szCs w:val="24"/>
          <w:rtl w:val="0"/>
        </w:rPr>
        <w:t xml:space="preserve">Paidi, V., Fleyeh, H., Håkansson, J. y Nyberg, R. G. (2021). Smart parking systems: comprehensive review based on various aspects.</w:t>
      </w:r>
      <w:r w:rsidDel="00000000" w:rsidR="00000000" w:rsidRPr="00000000">
        <w:rPr>
          <w:i w:val="1"/>
          <w:iCs w:val="1"/>
          <w:sz w:val="24"/>
          <w:szCs w:val="24"/>
          <w:rtl w:val="0"/>
        </w:rPr>
        <w:t xml:space="preserve"> Heliyon, 7</w:t>
      </w:r>
      <w:r w:rsidDel="00000000" w:rsidR="00000000" w:rsidRPr="00000000">
        <w:rPr>
          <w:sz w:val="24"/>
          <w:szCs w:val="24"/>
          <w:rtl w:val="0"/>
        </w:rPr>
        <w:t xml:space="preserve">(5), e07050.</w:t>
      </w:r>
    </w:p>
    <w:p w:rsidR="00000000" w:rsidDel="00000000" w:rsidP="00000000" w:rsidRDefault="00000000" w:rsidRPr="00000000" w14:paraId="00000045">
      <w:pPr>
        <w:spacing w:line="360" w:lineRule="auto"/>
        <w:ind w:left="720"/>
        <w:rPr>
          <w:sz w:val="24"/>
          <w:szCs w:val="24"/>
        </w:rPr>
      </w:pPr>
      <w:r w:rsidDel="00000000" w:rsidR="00000000" w:rsidRPr="00000000">
        <w:rPr>
          <w:sz w:val="24"/>
          <w:szCs w:val="24"/>
          <w:rtl w:val="0"/>
        </w:rPr>
        <w:t xml:space="preserve">Parklio. (2023).</w:t>
      </w:r>
      <w:r w:rsidDel="00000000" w:rsidR="00000000" w:rsidRPr="00000000">
        <w:rPr>
          <w:i w:val="1"/>
          <w:iCs w:val="1"/>
          <w:sz w:val="24"/>
          <w:szCs w:val="24"/>
          <w:rtl w:val="0"/>
        </w:rPr>
        <w:t xml:space="preserve"> Soluciones de gestión de estacionamiento para instituciones educativas</w:t>
      </w:r>
      <w:r w:rsidDel="00000000" w:rsidR="00000000" w:rsidRPr="00000000">
        <w:rPr>
          <w:sz w:val="24"/>
          <w:szCs w:val="24"/>
          <w:rtl w:val="0"/>
        </w:rPr>
        <w:t xml:space="preserve">. Parklio. </w:t>
      </w:r>
      <w:hyperlink r:id="rId11">
        <w:r w:rsidDel="00000000" w:rsidR="00000000" w:rsidRPr="00000000">
          <w:rPr>
            <w:color w:val="1155cc"/>
            <w:sz w:val="24"/>
            <w:szCs w:val="24"/>
            <w:u w:val="single"/>
            <w:rtl w:val="0"/>
          </w:rPr>
          <w:t xml:space="preserve">https://parklio.com/es/casos-de-uso/soluciones-de-gestion-de-estacionamiento-para-instituciones-educativas</w:t>
        </w:r>
      </w:hyperlink>
      <w:r w:rsidDel="00000000" w:rsidR="00000000" w:rsidRPr="00000000">
        <w:rPr>
          <w:rtl w:val="0"/>
        </w:rPr>
      </w:r>
    </w:p>
    <w:p w:rsidR="00000000" w:rsidDel="00000000" w:rsidP="00000000" w:rsidRDefault="00000000" w:rsidRPr="00000000" w14:paraId="00000046">
      <w:pPr>
        <w:spacing w:line="360" w:lineRule="auto"/>
        <w:ind w:left="720"/>
        <w:rPr>
          <w:sz w:val="24"/>
          <w:szCs w:val="24"/>
        </w:rPr>
      </w:pPr>
      <w:r w:rsidDel="00000000" w:rsidR="00000000" w:rsidRPr="00000000">
        <w:rPr>
          <w:sz w:val="24"/>
          <w:szCs w:val="24"/>
          <w:rtl w:val="0"/>
        </w:rPr>
        <w:t xml:space="preserve">Shah, S. A., Ahmad, Z., Mahmood, A., Khan, Z. A., Maple, C. y Asghar, M. Z. (2025). Advanced IoT-integrated parking systems with automated license plate recognition and payment management.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15, 1847.</w:t>
      </w:r>
    </w:p>
    <w:p w:rsidR="00000000" w:rsidDel="00000000" w:rsidP="00000000" w:rsidRDefault="00000000" w:rsidRPr="00000000" w14:paraId="00000047">
      <w:pPr>
        <w:spacing w:line="360" w:lineRule="auto"/>
        <w:ind w:left="720"/>
        <w:rPr>
          <w:sz w:val="24"/>
          <w:szCs w:val="24"/>
        </w:rPr>
      </w:pPr>
      <w:r w:rsidDel="00000000" w:rsidR="00000000" w:rsidRPr="00000000">
        <w:rPr>
          <w:sz w:val="24"/>
          <w:szCs w:val="24"/>
          <w:rtl w:val="0"/>
        </w:rPr>
        <w:t xml:space="preserve">STMicroelectronics. (2025). STM32 Nucleo boards. STMicroelectronics. </w:t>
      </w:r>
      <w:hyperlink r:id="rId12">
        <w:r w:rsidDel="00000000" w:rsidR="00000000" w:rsidRPr="00000000">
          <w:rPr>
            <w:color w:val="1155cc"/>
            <w:sz w:val="24"/>
            <w:szCs w:val="24"/>
            <w:u w:val="single"/>
            <w:rtl w:val="0"/>
          </w:rPr>
          <w:t xml:space="preserve">https://www.st.com/en/evaluation-tools/stm32-nucleo-boards.html</w:t>
        </w:r>
      </w:hyperlink>
      <w:r w:rsidDel="00000000" w:rsidR="00000000" w:rsidRPr="00000000">
        <w:rPr>
          <w:rtl w:val="0"/>
        </w:rPr>
      </w:r>
    </w:p>
    <w:p w:rsidR="00000000" w:rsidDel="00000000" w:rsidP="00000000" w:rsidRDefault="00000000" w:rsidRPr="00000000" w14:paraId="00000048">
      <w:pPr>
        <w:spacing w:line="360" w:lineRule="auto"/>
        <w:ind w:left="720"/>
        <w:rPr>
          <w:sz w:val="24"/>
          <w:szCs w:val="24"/>
        </w:rPr>
      </w:pPr>
      <w:r w:rsidDel="00000000" w:rsidR="00000000" w:rsidRPr="00000000">
        <w:rPr>
          <w:sz w:val="24"/>
          <w:szCs w:val="24"/>
          <w:rtl w:val="0"/>
        </w:rPr>
        <w:t xml:space="preserve">Zimmermann, S., Schulz, T., Hein, A., Felix Kaus, A., Gewald, H. y Krcmar, H. (2023). Why Specialized Service Ecosystems Emerge—the Case of Smart Parking in Germany.</w:t>
      </w:r>
      <w:r w:rsidDel="00000000" w:rsidR="00000000" w:rsidRPr="00000000">
        <w:rPr>
          <w:i w:val="1"/>
          <w:iCs w:val="1"/>
          <w:sz w:val="24"/>
          <w:szCs w:val="24"/>
          <w:rtl w:val="0"/>
        </w:rPr>
        <w:t xml:space="preserve"> Information Systems Frontiers</w:t>
      </w:r>
      <w:r w:rsidDel="00000000" w:rsidR="00000000" w:rsidRPr="00000000">
        <w:rPr>
          <w:sz w:val="24"/>
          <w:szCs w:val="24"/>
          <w:rtl w:val="0"/>
        </w:rPr>
        <w:t xml:space="preserve">, 27, 585-604. </w:t>
      </w:r>
      <w:hyperlink r:id="rId13">
        <w:r w:rsidDel="00000000" w:rsidR="00000000" w:rsidRPr="00000000">
          <w:rPr>
            <w:color w:val="1155cc"/>
            <w:sz w:val="24"/>
            <w:szCs w:val="24"/>
            <w:u w:val="single"/>
            <w:rtl w:val="0"/>
          </w:rPr>
          <w:t xml:space="preserve">https://link-springer-com.ebiblio.cetys.mx/article/10.1007/s10796-023-10453-y</w:t>
        </w:r>
      </w:hyperlink>
      <w:r w:rsidDel="00000000" w:rsidR="00000000" w:rsidRPr="00000000">
        <w:rPr>
          <w:rtl w:val="0"/>
        </w:rPr>
      </w:r>
    </w:p>
    <w:p w:rsidR="00000000" w:rsidDel="00000000" w:rsidP="00000000" w:rsidRDefault="00000000" w:rsidRPr="00000000" w14:paraId="00000049">
      <w:pPr>
        <w:spacing w:line="360" w:lineRule="auto"/>
        <w:ind w:left="720" w:hanging="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arklio.com/es/casos-de-uso/soluciones-de-gestion-de-estacionamiento-para-instituciones-educativas" TargetMode="External"/><Relationship Id="rId10" Type="http://schemas.openxmlformats.org/officeDocument/2006/relationships/hyperlink" Target="https://www.elimparcial.com/tij/tijuana/2014/06/09/matricula-de-uabc-con-mayor-crecimiento-en-tijuana/" TargetMode="External"/><Relationship Id="rId13" Type="http://schemas.openxmlformats.org/officeDocument/2006/relationships/hyperlink" Target="https://link-springer-com.ebiblio.cetys.mx/article/10.1007/s10796-023-10453-y" TargetMode="External"/><Relationship Id="rId12" Type="http://schemas.openxmlformats.org/officeDocument/2006/relationships/hyperlink" Target="https://www.st.com/en/evaluation-tools/stm32-nucleo-boar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vistas.unal.edu.co/index.php/revcep/article/view/98753/8528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searchgate.net/publication/279188454_The_State_of_the_Art_in_Smart_City_Research_-_A_Literature_Analysis_on_Green_IS_Solutions_to_Foster_Environmental_Sustainability" TargetMode="External"/><Relationship Id="rId8" Type="http://schemas.openxmlformats.org/officeDocument/2006/relationships/hyperlink" Target="https://ieeexplore-ieee-org.ebiblio.cetys.mx/stamp/stamp.jsp?tp=&amp;arnumber=6492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