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</w:pPr>
      <w:r>
        <w:rPr>
          <w:b/>
          <w:bCs/>
          <w:color w:val="0E7490"/>
          <w:sz w:val="20"/>
          <w:szCs w:val="20"/>
        </w:rPr>
        <w:t xml:space="preserve">MERIDIAN CYBER ADVISORY  |  FREE TEMPLATE</w:t>
      </w:r>
    </w:p>
    <w:p>
      <w:pPr>
        <w:spacing w:after="100"/>
      </w:pPr>
      <w:r>
        <w:rPr>
          <w:b/>
          <w:bCs/>
          <w:color w:val="0F172A"/>
          <w:sz w:val="52"/>
          <w:szCs w:val="52"/>
        </w:rPr>
        <w:t xml:space="preserve">Incident Response Plan</w:t>
      </w:r>
    </w:p>
    <w:p>
      <w:pPr>
        <w:pBdr>
          <w:bottom w:val="single" w:color="CBD5E1" w:sz="4" w:space="8"/>
        </w:pBdr>
        <w:spacing w:after="300"/>
      </w:pPr>
      <w:r>
        <w:rPr>
          <w:color w:val="475569"/>
          <w:sz w:val="22"/>
          <w:szCs w:val="22"/>
        </w:rPr>
        <w:t xml:space="preserve">A practical incident response framework for lean teams — clear roles, severity levels, and a step-by-step response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NOT LEGAL ADVICE</w:t>
            </w:r>
          </w:p>
          <w:p>
            <w:r>
              <w:rPr>
                <w:color w:val="78350F"/>
                <w:sz w:val="20"/>
                <w:szCs w:val="20"/>
              </w:rPr>
              <w:t xml:space="preserve">This template is provided for informational purposes by Meridian Cyber Advisory and is not legal advice. Breach notification laws vary by state/country — consult counsel before finalizing your notification process.</w:t>
            </w:r>
          </w:p>
        </w:tc>
      </w:tr>
    </w:tbl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t xml:space="preserve">This plan defines how </w:t>
      </w:r>
      <w:r>
        <w:rPr>
          <w:i/>
          <w:iCs/>
          <w:color w:val="B91C1C"/>
        </w:rPr>
        <w:t xml:space="preserve">[COMPANY NAME]</w:t>
      </w:r>
      <w:r>
        <w:t xml:space="preserve"> detects, responds to, and recovers from security incidents, and how it communicates during one.</w:t>
      </w:r>
    </w:p>
    <w:p>
      <w:pPr>
        <w:pStyle w:val="Heading1"/>
        <w:spacing w:after="160" w:before="320"/>
      </w:pPr>
      <w:r>
        <w:t xml:space="preserve">2. Incident Response Team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400"/>
      </w:tblGrid>
      <w:tr>
        <w:trPr>
          <w:tblHeader/>
        </w:trPr>
        <w:tc>
          <w:tcPr>
            <w:tcW w:type="dxa" w:w="28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4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[PHONE / EMAIL]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[PHONE / EMAIL]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 OR FIRM]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[PHONE / EMAIL]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Communications Lead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[NAME]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[PHONE / EMAIL]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vCISO / Advisor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Meridian Cyber Advisory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[EMAIL]</w:t>
            </w:r>
          </w:p>
        </w:tc>
      </w:tr>
    </w:tbl>
    <w:p>
      <w:pPr>
        <w:pStyle w:val="Heading1"/>
        <w:spacing w:after="160" w:before="320"/>
      </w:pPr>
      <w:r>
        <w:t xml:space="preserve">3. Severity Classification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00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2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 1 — Critical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breach, ransomware, confirmed customer data exposure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— activate full team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 2 — High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Suspected unauthorized access, malware on a production system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 4 hours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 3 — Medium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Phishing attempt, lost device with no confirmed data access, policy violation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 1 business day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Sev 4 — Low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positive, isolated non-production issue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 3 business days</w:t>
            </w:r>
          </w:p>
        </w:tc>
      </w:tr>
    </w:tbl>
    <w:p>
      <w:pPr>
        <w:pStyle w:val="Heading1"/>
        <w:spacing w:after="160" w:before="320"/>
      </w:pPr>
      <w:r>
        <w:t xml:space="preserve">4. Response Phases</w:t>
      </w:r>
    </w:p>
    <w:p>
      <w:pPr>
        <w:pStyle w:val="Heading2"/>
        <w:spacing w:after="120" w:before="240"/>
      </w:pPr>
      <w:r>
        <w:t xml:space="preserve">Detection &amp; 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 the incident is real and gather initial facts (what system, what data, when it started).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 severity level and notify the Incident Commander.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Preserve evidence — do not wipe or reboot affected systems before logs/artifacts are captured.</w:t>
      </w:r>
    </w:p>
    <w:p>
      <w:pPr>
        <w:pStyle w:val="Heading2"/>
        <w:spacing w:after="120" w:before="240"/>
      </w:pPr>
      <w:r>
        <w:t xml:space="preserve">Containment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Isolate affected systems (revoke sessions, disable compromised accounts, segment network access).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Rotate any credentials or keys that may have been exposed.</w:t>
      </w:r>
    </w:p>
    <w:p>
      <w:pPr>
        <w:pStyle w:val="Heading2"/>
        <w:spacing w:after="120" w:before="240"/>
      </w:pPr>
      <w:r>
        <w:t xml:space="preserve">Eradication &amp; Recovery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Remove the root cause (malware, vulnerable code, misconfiguration).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Restore systems from known-clean backups where applicable and verify integrity before returning to production.</w:t>
      </w:r>
    </w:p>
    <w:p>
      <w:pPr>
        <w:pStyle w:val="Heading2"/>
        <w:spacing w:after="120" w:before="240"/>
      </w:pPr>
      <w:r>
        <w:t xml:space="preserve">Post-Incident Review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Hold a blameless retrospective within 5 business days of resolution.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 root cause, timeline, and corrective actions; update this plan and related controls accordingly.</w:t>
      </w:r>
    </w:p>
    <w:p>
      <w:pPr>
        <w:pStyle w:val="Heading1"/>
        <w:spacing w:after="160" w:before="320"/>
      </w:pPr>
      <w:r>
        <w:t xml:space="preserve">5. Communication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2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team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Sev 1/Sev 2 incident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Commander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Affected customers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exposure of customer data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Communications Lead + Legal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Regulators / authorities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obligation triggered (see Section 6)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/ Compliance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Cyber insurance carrier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incident that may result in a claim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Incident Commander</w:t>
            </w:r>
          </w:p>
        </w:tc>
      </w:tr>
    </w:tbl>
    <w:p>
      <w:pPr>
        <w:pStyle w:val="Heading1"/>
        <w:spacing w:after="160" w:before="320"/>
      </w:pPr>
      <w:r>
        <w:t xml:space="preserve">6. Breach Notification Checklist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Determine which state, federal, or international breach notification laws apply based on where affected individuals reside.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contractual notification obligations to customers or partners (check MSAs/DPAs).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Notify cyber insurance carrier as early as possible — many policies require prompt notice to preserve coverage.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Engage outside counsel for any incident involving confirmed personal data exposure.</w:t>
      </w:r>
    </w:p>
    <w:p>
      <w:pPr>
        <w:spacing w:before="200"/>
      </w:pPr>
      <w:r>
        <w:t xml:space="preserve">Plan owner: </w:t>
      </w:r>
      <w:r>
        <w:rPr>
          <w:i/>
          <w:iCs/>
          <w:color w:val="B91C1C"/>
        </w:rPr>
        <w:t xml:space="preserve">[NAME]</w:t>
      </w:r>
      <w:r>
        <w:t xml:space="preserve">     Last tested: </w:t>
      </w:r>
      <w:r>
        <w:rPr>
          <w:i/>
          <w:iCs/>
          <w:color w:val="B91C1C"/>
        </w:rPr>
        <w:t xml:space="preserve">[DATE]</w:t>
      </w:r>
      <w:r>
        <w:t xml:space="preserve">     Next tabletop exercise: </w:t>
      </w:r>
      <w:r>
        <w:rPr>
          <w:i/>
          <w:iCs/>
          <w:color w:val="B91C1C"/>
        </w:rPr>
        <w:t xml:space="preserve">[DATE]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490" w:sz="6" w:space="4"/>
      </w:pBdr>
      <w:spacing w:after="160" w:before="320"/>
    </w:pPr>
    <w:rPr>
      <w:rFonts w:ascii="Calibri" w:cs="Calibri" w:eastAsia="Calibri" w:hAnsi="Calibr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2026-07-21T21:10:43.145Z</dcterms:created>
  <dcterms:modified xsi:type="dcterms:W3CDTF">2026-07-21T21:10:43.145Z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