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</w:pPr>
      <w:r>
        <w:rPr>
          <w:b/>
          <w:bCs/>
          <w:color w:val="0E7490"/>
          <w:sz w:val="20"/>
          <w:szCs w:val="20"/>
        </w:rPr>
        <w:t xml:space="preserve">MERIDIAN CYBER ADVISORY  |  FREE TEMPLATE</w:t>
      </w:r>
    </w:p>
    <w:p>
      <w:pPr>
        <w:spacing w:after="100"/>
      </w:pPr>
      <w:r>
        <w:rPr>
          <w:b/>
          <w:bCs/>
          <w:color w:val="0F172A"/>
          <w:sz w:val="52"/>
          <w:szCs w:val="52"/>
        </w:rPr>
        <w:t xml:space="preserve">Information Security Policy</w:t>
      </w:r>
    </w:p>
    <w:p>
      <w:pPr>
        <w:pBdr>
          <w:bottom w:val="single" w:color="CBD5E1" w:sz="4" w:space="8"/>
        </w:pBdr>
        <w:spacing w:after="300"/>
      </w:pPr>
      <w:r>
        <w:rPr>
          <w:color w:val="475569"/>
          <w:sz w:val="22"/>
          <w:szCs w:val="22"/>
        </w:rPr>
        <w:t xml:space="preserve">A baseline security policy template for early-stage companies — fill in the brackets and adapt to your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NOT LEGAL ADVICE</w:t>
            </w:r>
          </w:p>
          <w:p>
            <w:r>
              <w:rPr>
                <w:color w:val="78350F"/>
                <w:sz w:val="20"/>
                <w:szCs w:val="20"/>
              </w:rPr>
              <w:t xml:space="preserve">This template is provided for informational purposes by Meridian Cyber Advisory and is not legal advice. Have qualified counsel review before adopting it as an official company policy.</w:t>
            </w:r>
          </w:p>
        </w:tc>
      </w:tr>
    </w:tbl>
    <w:p>
      <w:pPr>
        <w:pStyle w:val="Heading1"/>
        <w:spacing w:after="160" w:before="320"/>
      </w:pPr>
      <w:r>
        <w:t xml:space="preserve">1. Purpose &amp; Scope</w:t>
      </w:r>
    </w:p>
    <w:p>
      <w:pPr>
        <w:spacing w:after="160"/>
      </w:pPr>
      <w:r>
        <w:t xml:space="preserve">This policy establishes the minimum security requirements for protecting the information, systems, and data of </w:t>
      </w:r>
    </w:p>
    <w:p>
      <w:pPr>
        <w:spacing w:after="160"/>
      </w:pPr>
      <w:r>
        <w:rPr>
          <w:i/>
          <w:iCs/>
          <w:color w:val="B91C1C"/>
        </w:rPr>
        <w:t xml:space="preserve">[COMPANY NAME]</w:t>
      </w:r>
      <w:r>
        <w:t xml:space="preserve"> ("the Company"). It applies to all employees, contractors, and third parties with access to Company systems or data.</w:t>
      </w:r>
    </w:p>
    <w:p>
      <w:pPr>
        <w:pStyle w:val="Heading1"/>
        <w:spacing w:after="160" w:before="320"/>
      </w:pPr>
      <w:r>
        <w:t xml:space="preserve">2. Roles &amp; Responsibilities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Owner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[NAME/TITLE] — accountable for this policy, incident response, and vendor security review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Personnel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 this policy, complete annual security awareness training, report suspected incidents immediately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Engineering/IT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technical controls (access management, patching, backups, logging)</w:t>
            </w:r>
          </w:p>
        </w:tc>
      </w:tr>
    </w:tbl>
    <w:p>
      <w:pPr>
        <w:pStyle w:val="Heading1"/>
        <w:spacing w:after="160" w:before="320"/>
      </w:pPr>
      <w:r>
        <w:t xml:space="preserve">3. Acceptable 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systems and accounts are for business use; incidental personal use is permitted if it does not create risk or interfere with duties.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Employees must not share credentials, disable security controls, or install unauthorized software on Company devices.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data must not be transferred to personal devices, personal cloud storage, or personal email accounts.</w:t>
      </w:r>
    </w:p>
    <w:p>
      <w:pPr>
        <w:pStyle w:val="Heading1"/>
        <w:spacing w:after="160" w:before="320"/>
      </w:pPr>
      <w:r>
        <w:t xml:space="preserve">4.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systems and data is granted on a least-privilege, need-to-know basis and reviewed at least quarterly.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is revoked within 24 hours of an employee's or contractor's last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Administrative/privileged access requires approval from the Security Owner and is logged.</w:t>
      </w:r>
    </w:p>
    <w:p>
      <w:pPr>
        <w:pStyle w:val="Heading1"/>
        <w:spacing w:after="160" w:before="320"/>
      </w:pPr>
      <w:r>
        <w:t xml:space="preserve">5. Data Classification &amp; Handling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40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8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400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 requirement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Restricted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PII, credentials, financial records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Encrypted at rest and in transit; access logged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docs, source code, roadmaps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shared externally without approval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Marketing content, published docs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restriction</w:t>
            </w:r>
          </w:p>
        </w:tc>
      </w:tr>
    </w:tbl>
    <w:p>
      <w:pPr>
        <w:pStyle w:val="Heading1"/>
        <w:spacing w:after="160" w:before="320"/>
      </w:pPr>
      <w:r>
        <w:t xml:space="preserve">6. Authentication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Multi-factor authentication (MFA) is required on all systems that support it, without exception, for all personnel.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must be unique per system and managed through an approved password manager — no reused or shared passwords.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credentials on any system or device must be changed before use.</w:t>
      </w:r>
    </w:p>
    <w:p>
      <w:pPr>
        <w:pStyle w:val="Heading1"/>
        <w:spacing w:after="160" w:before="320"/>
      </w:pPr>
      <w:r>
        <w:t xml:space="preserve">7. Device &amp; Endpoint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company-owned and BYOD devices accessing Company data must have disk encryption, a screen lock, and up-to-date OS/security patches.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Devices must run endpoint protection where available and be reported immediately if lost or stolen.</w:t>
      </w:r>
    </w:p>
    <w:p>
      <w:pPr>
        <w:pStyle w:val="Heading1"/>
        <w:spacing w:after="160" w:before="320"/>
      </w:pPr>
      <w:r>
        <w:t xml:space="preserve">8. Incident Reporting</w:t>
      </w:r>
    </w:p>
    <w:p>
      <w:pPr>
        <w:spacing w:after="160"/>
      </w:pPr>
      <w:r>
        <w:t xml:space="preserve">Any suspected security incident (phishing, malware, unauthorized access, lost device, data exposure) must be reported to </w:t>
      </w:r>
    </w:p>
    <w:p>
      <w:pPr>
        <w:spacing w:after="160"/>
      </w:pPr>
      <w:r>
        <w:rPr>
          <w:i/>
          <w:iCs/>
          <w:color w:val="B91C1C"/>
        </w:rPr>
        <w:t xml:space="preserve">[SECURITY CONTACT / EMAIL]</w:t>
      </w:r>
      <w:r>
        <w:t xml:space="preserve"> within 24 hours of discovery. See the companion Incident Response Plan for the full process.</w:t>
      </w:r>
    </w:p>
    <w:p>
      <w:pPr>
        <w:pStyle w:val="Heading1"/>
        <w:spacing w:after="160" w:before="320"/>
      </w:pPr>
      <w:r>
        <w:t xml:space="preserve">9. Third-Party &amp; Vendor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Vendors with access to Restricted data must be reviewed before onboarding (see the companion Vendor Risk Assessment Questionnaire).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Contracts with such vendors must include confidentiality and data protection terms.</w:t>
      </w:r>
    </w:p>
    <w:p>
      <w:pPr>
        <w:pStyle w:val="Heading1"/>
        <w:spacing w:after="160" w:before="320"/>
      </w:pPr>
      <w:r>
        <w:t xml:space="preserve">10. Policy Review &amp; Enforcement</w:t>
      </w:r>
    </w:p>
    <w:p>
      <w:pPr>
        <w:spacing w:after="160"/>
      </w:pPr>
      <w:r>
        <w:t xml:space="preserve">This policy is reviewed at least annually or after a material change to the Company's systems or risk profile. Violations may result in disciplinary action, up to and including termination.</w:t>
      </w:r>
    </w:p>
    <w:p>
      <w:pPr>
        <w:spacing w:before="200"/>
      </w:pPr>
      <w:r>
        <w:t xml:space="preserve">Owner: </w:t>
      </w:r>
      <w:r>
        <w:rPr>
          <w:i/>
          <w:iCs/>
          <w:color w:val="B91C1C"/>
        </w:rPr>
        <w:t xml:space="preserve">[NAME]</w:t>
      </w:r>
      <w:r>
        <w:t xml:space="preserve">     Last reviewed: </w:t>
      </w:r>
      <w:r>
        <w:rPr>
          <w:i/>
          <w:iCs/>
          <w:color w:val="B91C1C"/>
        </w:rPr>
        <w:t xml:space="preserve">[DATE]</w:t>
      </w:r>
      <w:r>
        <w:t xml:space="preserve">     Next review: </w:t>
      </w:r>
      <w:r>
        <w:rPr>
          <w:i/>
          <w:iCs/>
          <w:color w:val="B91C1C"/>
        </w:rPr>
        <w:t xml:space="preserve">[DATE]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490" w:sz="6" w:space="4"/>
      </w:pBdr>
      <w:spacing w:after="160" w:before="320"/>
    </w:pPr>
    <w:rPr>
      <w:rFonts w:ascii="Calibri" w:cs="Calibri" w:eastAsia="Calibri" w:hAnsi="Calibr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2026-07-21T21:10:43.139Z</dcterms:created>
  <dcterms:modified xsi:type="dcterms:W3CDTF">2026-07-21T21:10:43.140Z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