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pPr>
      <w:r>
        <w:rPr>
          <w:b/>
          <w:bCs/>
          <w:color w:val="0E7490"/>
          <w:sz w:val="20"/>
          <w:szCs w:val="20"/>
        </w:rPr>
        <w:t xml:space="preserve">MERIDIAN CYBER ADVISORY  |  RESEARCH</w:t>
      </w:r>
    </w:p>
    <w:p>
      <w:pPr>
        <w:spacing w:after="100"/>
      </w:pPr>
      <w:r>
        <w:rPr>
          <w:b/>
          <w:bCs/>
          <w:color w:val="0F172A"/>
          <w:sz w:val="52"/>
          <w:szCs w:val="52"/>
        </w:rPr>
        <w:t xml:space="preserve">The State of Startup Security, 2026</w:t>
      </w:r>
    </w:p>
    <w:p>
      <w:pPr>
        <w:pBdr>
          <w:bottom w:val="single" w:color="CBD5E1" w:sz="4" w:space="8"/>
        </w:pBdr>
        <w:spacing w:after="300"/>
      </w:pPr>
      <w:r>
        <w:rPr>
          <w:color w:val="475569"/>
          <w:sz w:val="22"/>
          <w:szCs w:val="22"/>
        </w:rPr>
        <w:t xml:space="preserve">What the latest industry data says about small-company breach risk, compliance cost, and the gaps most founders don't know they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DBEAFE" w:val="clear"/>
            <w:tcMar>
              <w:top w:type="dxa" w:w="160"/>
              <w:left w:type="dxa" w:w="200"/>
              <w:bottom w:type="dxa" w:w="160"/>
              <w:right w:type="dxa" w:w="200"/>
            </w:tcMar>
          </w:tcPr>
          <w:p>
            <w:pPr>
              <w:spacing w:after="80"/>
            </w:pPr>
            <w:r>
              <w:rPr>
                <w:b/>
                <w:bCs/>
                <w:color w:val="1E3A8A"/>
                <w:sz w:val="20"/>
                <w:szCs w:val="20"/>
              </w:rPr>
              <w:t xml:space="preserve">ABOUT THIS EDITION</w:t>
            </w:r>
          </w:p>
          <w:p>
            <w:r>
              <w:rPr>
                <w:color w:val="1E3A8A"/>
                <w:sz w:val="20"/>
                <w:szCs w:val="20"/>
              </w:rPr>
              <w:t xml:space="preserve">This first edition is built entirely from cited public industry research (Verizon, IBM, and independent DMARC-adoption studies — full sources on the last page). Future editions will incorporate anonymized, aggregate data from Meridian's own free Instant Security Grade tool as usage grows, giving founders a benchmark grounded in real small-company scan results rather than industry averages alone.</w:t>
            </w:r>
          </w:p>
        </w:tc>
      </w:tr>
    </w:tbl>
    <w:p>
      <w:pPr>
        <w:pStyle w:val="Heading1"/>
        <w:spacing w:after="160" w:before="320"/>
      </w:pPr>
      <w:r>
        <w:t xml:space="preserve">1. Ransomware Hits Small Companies Hardest</w:t>
      </w:r>
    </w:p>
    <w:p>
      <w:pPr>
        <w:spacing w:after="160"/>
      </w:pPr>
      <w:r>
        <w:t xml:space="preserve">Extortion malware — ransomware and related attacks — appeared in 88% of breaches at small and medium-sized businesses, compared to 39% at large organizations, according to Verizon's 2025 Data Breach Investigations Report. The median ransom payment was $115,000, though 64% of victims now refuse to pay, up from 50% two years earlier.</w:t>
      </w:r>
    </w:p>
    <w:p>
      <w:pPr>
        <w:spacing w:after="160"/>
      </w:pPr>
      <w:r>
        <w:t xml:space="preserve">Credential abuse (22%) and exploitation of known vulnerabilities (20%) remain the two leading ways attackers get in. Both are largely preventable with baseline controls: MFA, prompt patching, and least-privilege access.</w:t>
      </w:r>
    </w:p>
    <w:p>
      <w:pPr>
        <w:pStyle w:val="Heading1"/>
        <w:spacing w:after="160" w:before="320"/>
      </w:pPr>
      <w:r>
        <w:t xml:space="preserve">2. The Real Cost of a Breach</w:t>
      </w:r>
    </w:p>
    <w:p>
      <w:pPr>
        <w:spacing w:after="160"/>
      </w:pPr>
      <w:r>
        <w:t xml:space="preserve">The average cost of a data breach for U.S. companies reached an all-time high of $10.22 million in 2025 (IBM Cost of a Data Breach Report), even as the global average declined to $4.44 million. Smaller companies rarely absorb costs at that scale — which is exactly why a breach is more often existential for an under-50-person company than for an enterprise with a dedicated security budget.</w:t>
      </w:r>
    </w:p>
    <w:p>
      <w:pPr>
        <w:spacing w:after="160"/>
      </w:pPr>
      <w:r>
        <w:t xml:space="preserve">Organizations took an average of 241 days to identify and contain a breach — the fastest pace in nine years, but still nearly eight months of undetected exposure. Third-party involvement in breaches has doubled to 30% year over year, meaning a company's own controls are no longer the only variable that matters.</w:t>
      </w:r>
    </w:p>
    <w:p>
      <w:pPr>
        <w:pStyle w:val="Heading1"/>
        <w:spacing w:after="160" w:before="320"/>
      </w:pPr>
      <w:r>
        <w:t xml:space="preserve">3. Email Security: A Free Fix Most Companies Skip</w:t>
      </w:r>
    </w:p>
    <w:p>
      <w:pPr>
        <w:spacing w:after="160"/>
      </w:pPr>
      <w:r>
        <w:t xml:space="preserve">DMARC adoption reached 52% of domains globally in 2025, up from 38% in 2023 — largely driven by Google and Yahoo's 2024 sender requirements. But adoption alone overstates the real protection: only 18.4% of domains enforce a reject policy that actually blocks spoofed mail. The rest sit at p=none, which monitors spoofing without stopping it — a record that satisfies Gmail's checklist but does nothing to stop an attacker from impersonating the domain.</w:t>
      </w:r>
    </w:p>
    <w:p>
      <w:pPr>
        <w:spacing w:after="160"/>
      </w:pPr>
      <w:r>
        <w:t xml:space="preserve">The payoff for closing that gap is large: domains with DMARC set to enforcement see 86% fewer spoofing incidents than domains with no DMARC record at all. This is one of the few controls in security that is genuinely free, takes under an hour to implement, and has a measurable before/after effect — which is why it's the first thing Meridian's free scan tool checks.</w:t>
      </w:r>
    </w:p>
    <w:p>
      <w:pPr>
        <w:pStyle w:val="Heading1"/>
        <w:spacing w:after="160" w:before="320"/>
      </w:pPr>
      <w:r>
        <w:t xml:space="preserve">4. Compliance Is Getting More Expensive to Delay</w:t>
      </w:r>
    </w:p>
    <w:p>
      <w:pPr>
        <w:spacing w:after="160"/>
      </w:pPr>
      <w:r>
        <w:t xml:space="preserve">First-year SOC 2 costs for a small startup start around $25,000 and climb well past $200,000 for larger, more complex organizations, once audit fees, tooling, and internal time are included. Ongoing annual maintenance typically runs $15,000-$40,000. Compliance automation platforms can cut 30-50% of that cost through automated evidence collection — but only if a company starts before it's blocking a deal, rather than after.</w:t>
      </w:r>
    </w:p>
    <w:p>
      <w:pPr>
        <w:spacing w:after="160"/>
      </w:pPr>
      <w:r>
        <w:t xml:space="preserve">The pattern Meridian sees most often: a company delays any security investment until an enterprise customer's security questionnaire or a SOC 2 requirement blocks a signed contract, then has to compress months of foundational work into a matter of weeks under deal pressure — at a real cost in both cash and lost leverage.</w:t>
      </w:r>
    </w:p>
    <w:p>
      <w:pPr>
        <w:pStyle w:val="Heading1"/>
        <w:spacing w:after="160" w:before="320"/>
      </w:pPr>
      <w:r>
        <w:t xml:space="preserve">5. What This Means for Early-Stage Companies</w:t>
      </w:r>
    </w:p>
    <w:p>
      <w:pPr>
        <w:pStyle w:val="ListParagraph"/>
        <w:numPr>
          <w:ilvl w:val="0"/>
          <w:numId w:val="2"/>
        </w:numPr>
        <w:spacing w:after="80"/>
      </w:pPr>
      <w:r>
        <w:t xml:space="preserve">Ransomware doesn't discriminate by company size — if anything, small companies are proportionally more exposed, not less.</w:t>
      </w:r>
    </w:p>
    <w:p>
      <w:pPr>
        <w:pStyle w:val="ListParagraph"/>
        <w:numPr>
          <w:ilvl w:val="0"/>
          <w:numId w:val="2"/>
        </w:numPr>
        <w:spacing w:after="80"/>
      </w:pPr>
      <w:r>
        <w:t xml:space="preserve">The highest-leverage fixes (MFA, DMARC enforcement, prompt patching) are inexpensive and address the majority of real-world attack paths.</w:t>
      </w:r>
    </w:p>
    <w:p>
      <w:pPr>
        <w:pStyle w:val="ListParagraph"/>
        <w:numPr>
          <w:ilvl w:val="0"/>
          <w:numId w:val="2"/>
        </w:numPr>
        <w:spacing w:after="80"/>
      </w:pPr>
      <w:r>
        <w:t xml:space="preserve">Compliance debt compounds — the cost and time pressure of SOC 2 is dramatically lower when addressed proactively than when a deal is on the line.</w:t>
      </w:r>
    </w:p>
    <w:p>
      <w:pPr>
        <w:pStyle w:val="ListParagraph"/>
        <w:numPr>
          <w:ilvl w:val="0"/>
          <w:numId w:val="2"/>
        </w:numPr>
        <w:spacing w:after="80"/>
      </w:pPr>
      <w:r>
        <w:t xml:space="preserve">Third-party risk is now nearly a third of all breaches — vendor vetting is no longer optional even for lean teams.</w:t>
      </w:r>
    </w:p>
    <w:p>
      <w:pPr>
        <w:pStyle w:val="Heading1"/>
        <w:spacing w:after="160" w:before="320"/>
      </w:pPr>
      <w:r>
        <w:t xml:space="preserve">6. Check Your Own Exposure</w:t>
      </w:r>
    </w:p>
    <w:p>
      <w:pPr>
        <w:spacing w:after="160"/>
      </w:pPr>
      <w:r>
        <w:t xml:space="preserve">Meridian's free Instant Security Grade tool checks the exact gaps covered in this report — email authentication (SPF/DMARC), transport security (HTTPS/HSTS/TLS), and security headers — against your own domain in under a minute, with no signup required.</w:t>
      </w:r>
    </w:p>
    <w:p>
      <w:pPr>
        <w:spacing w:after="200"/>
      </w:pPr>
      <w:hyperlink w:history="1" r:id="rIdmlbmbfa5gzb66ogfyfliy">
        <w:r>
          <w:rPr>
            <w:color w:val="2563EB"/>
            <w:u w:val="single"/>
          </w:rPr>
          <w:t xml:space="preserve">meridian-cyber-advisory.netlify.app/scan.html</w:t>
        </w:r>
      </w:hyperlink>
    </w:p>
    <w:p>
      <w:r>
        <w:br w:type="page"/>
      </w:r>
    </w:p>
    <w:p>
      <w:pPr>
        <w:pStyle w:val="Heading1"/>
        <w:spacing w:after="160" w:before="320"/>
      </w:pPr>
      <w:r>
        <w:t xml:space="preserve">Sources</w:t>
      </w:r>
    </w:p>
    <w:p>
      <w:pPr>
        <w:pStyle w:val="ListParagraph"/>
        <w:numPr>
          <w:ilvl w:val="0"/>
          <w:numId w:val="2"/>
        </w:numPr>
        <w:spacing w:after="80"/>
      </w:pPr>
      <w:r>
        <w:t xml:space="preserve">Verizon 2025 Data Breach Investigations Report — SMB ransomware/extortion statistics, credential abuse and vulnerability exploitation rates, third-party involvement.</w:t>
      </w:r>
    </w:p>
    <w:p>
      <w:pPr>
        <w:spacing w:after="160"/>
      </w:pPr>
      <w:hyperlink w:history="1" r:id="rIdknhqopwll4ahysnr5flyo">
        <w:r>
          <w:rPr>
            <w:color w:val="2563EB"/>
            <w:u w:val="single"/>
          </w:rPr>
          <w:t xml:space="preserve">verizon.com/business/resources/reports/dbir</w:t>
        </w:r>
      </w:hyperlink>
    </w:p>
    <w:p>
      <w:pPr>
        <w:pStyle w:val="ListParagraph"/>
        <w:numPr>
          <w:ilvl w:val="0"/>
          <w:numId w:val="2"/>
        </w:numPr>
        <w:spacing w:after="80"/>
      </w:pPr>
      <w:r>
        <w:t xml:space="preserve">IBM Cost of a Data Breach Report 2025 — average U.S. and global breach costs, mean time to identify/contain.</w:t>
      </w:r>
    </w:p>
    <w:p>
      <w:pPr>
        <w:spacing w:after="160"/>
      </w:pPr>
      <w:hyperlink w:history="1" r:id="rIdepvnkit3xdlw1mudezzor">
        <w:r>
          <w:rPr>
            <w:color w:val="2563EB"/>
            <w:u w:val="single"/>
          </w:rPr>
          <w:t xml:space="preserve">ibm.com/think/x-force/2025-cost-of-a-data-breach-navigating-ai</w:t>
        </w:r>
      </w:hyperlink>
    </w:p>
    <w:p>
      <w:pPr>
        <w:pStyle w:val="ListParagraph"/>
        <w:numPr>
          <w:ilvl w:val="0"/>
          <w:numId w:val="2"/>
        </w:numPr>
        <w:spacing w:after="80"/>
      </w:pPr>
      <w:r>
        <w:t xml:space="preserve">DMARC adoption and enforcement statistics — global adoption rate, enforcement gap, and spoofing-reduction figures.</w:t>
      </w:r>
    </w:p>
    <w:p>
      <w:pPr>
        <w:spacing w:after="160"/>
      </w:pPr>
      <w:hyperlink w:history="1" r:id="rIdexnkryver8yttijb8spt_">
        <w:r>
          <w:rPr>
            <w:color w:val="2563EB"/>
            <w:u w:val="single"/>
          </w:rPr>
          <w:t xml:space="preserve">dmarcreport.com — The State of DMARC Adoption 2026</w:t>
        </w:r>
      </w:hyperlink>
    </w:p>
    <w:p>
      <w:pPr>
        <w:pStyle w:val="ListParagraph"/>
        <w:numPr>
          <w:ilvl w:val="0"/>
          <w:numId w:val="2"/>
        </w:numPr>
        <w:spacing w:after="80"/>
      </w:pPr>
      <w:r>
        <w:t xml:space="preserve">SOC 2 compliance cost benchmarks — first-year and ongoing cost ranges for small companies.</w:t>
      </w:r>
    </w:p>
    <w:p>
      <w:pPr>
        <w:spacing w:after="160"/>
      </w:pPr>
      <w:hyperlink w:history="1" r:id="rId12bvenpcoyvtfve88fvhi">
        <w:r>
          <w:rPr>
            <w:color w:val="2563EB"/>
            <w:u w:val="single"/>
          </w:rPr>
          <w:t xml:space="preserve">sprinto.com/blog/soc-2-compliance-cost</w:t>
        </w:r>
      </w:hyperlink>
      <w:r>
        <w:t xml:space="preserve">   ·   </w:t>
      </w:r>
      <w:hyperlink w:history="1" r:id="rIdribfcln8kkkv6pvryktbn">
        <w:r>
          <w:rPr>
            <w:color w:val="2563EB"/>
            <w:u w:val="single"/>
          </w:rPr>
          <w:t xml:space="preserve">scytale.ai/center/soc-2/how-much-does-soc-2-compliance-cost</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490" w:sz="6" w:space="4"/>
      </w:pBdr>
      <w:spacing w:after="160" w:before="320"/>
    </w:pPr>
    <w:rPr>
      <w:rFonts w:ascii="Calibri" w:cs="Calibri" w:eastAsia="Calibri" w:hAnsi="Calibri"/>
      <w:b/>
      <w:bCs/>
      <w:color w:val="0F172A"/>
      <w:sz w:val="30"/>
      <w:szCs w:val="30"/>
    </w:rPr>
  </w:style>
  <w:style w:type="paragraph" w:styleId="Heading2">
    <w:name w:val="Heading 2"/>
    <w:basedOn w:val="Normal"/>
    <w:next w:val="Normal"/>
    <w:qFormat/>
    <w:pPr>
      <w:spacing w:after="120" w:before="240"/>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lbmbfa5gzb66ogfyfliy" Type="http://schemas.openxmlformats.org/officeDocument/2006/relationships/hyperlink" Target="https://meridian-cyber-advisory.netlify.app/scan.html" TargetMode="External"/><Relationship Id="rIdknhqopwll4ahysnr5flyo" Type="http://schemas.openxmlformats.org/officeDocument/2006/relationships/hyperlink" Target="https://www.verizon.com/business/resources/reports/dbir/" TargetMode="External"/><Relationship Id="rIdepvnkit3xdlw1mudezzor" Type="http://schemas.openxmlformats.org/officeDocument/2006/relationships/hyperlink" Target="https://www.ibm.com/think/x-force/2025-cost-of-a-data-breach-navigating-ai" TargetMode="External"/><Relationship Id="rIdexnkryver8yttijb8spt_" Type="http://schemas.openxmlformats.org/officeDocument/2006/relationships/hyperlink" Target="https://dmarcreport.com/blog/the-dmarc-adoption-2026-domains-records-only-9-percent-protected/" TargetMode="External"/><Relationship Id="rId12bvenpcoyvtfve88fvhi" Type="http://schemas.openxmlformats.org/officeDocument/2006/relationships/hyperlink" Target="https://sprinto.com/blog/soc-2-compliance-cost/" TargetMode="External"/><Relationship Id="rIdribfcln8kkkv6pvryktbn" Type="http://schemas.openxmlformats.org/officeDocument/2006/relationships/hyperlink" Target="https://scytale.ai/center/soc-2/how-much-does-soc-2-compliance-cos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2026-07-21T21:12:26.800Z</dcterms:created>
  <dcterms:modified xsi:type="dcterms:W3CDTF">2026-07-21T21:12:26.800Z</dcterms:modified>
</cp:coreProperties>
</file>

<file path=docProps/custom.xml><?xml version="1.0" encoding="utf-8"?>
<Properties xmlns="http://schemas.openxmlformats.org/officeDocument/2006/custom-properties" xmlns:vt="http://schemas.openxmlformats.org/officeDocument/2006/docPropsVTypes"/>
</file>