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9D3A57"/>
          <w:sz w:val="34"/>
          <w:szCs w:val="34"/>
        </w:rPr>
        <w:t xml:space="preserve">Estrategia de precios — Método Raíz</w:t>
      </w:r>
    </w:p>
    <w:p>
      <w:pPr>
        <w:spacing w:after="40"/>
        <w:jc w:val="center"/>
      </w:pPr>
      <w:r>
        <w:rPr>
          <w:rFonts w:ascii="Calibri" w:cs="Calibri" w:eastAsia="Calibri" w:hAnsi="Calibri"/>
          <w:b/>
          <w:bCs/>
          <w:color w:val="1F2937"/>
          <w:sz w:val="22"/>
          <w:szCs w:val="22"/>
        </w:rPr>
        <w:t xml:space="preserve">Penetración de mercado en 3 etapas</w:t>
      </w:r>
    </w:p>
    <w:p>
      <w:pPr>
        <w:spacing w:after="300"/>
        <w:jc w:val="center"/>
      </w:pPr>
      <w:r>
        <w:rPr>
          <w:rFonts w:ascii="Calibri" w:cs="Calibri" w:eastAsia="Calibri" w:hAnsi="Calibri"/>
          <w:color w:val="6B7280"/>
          <w:sz w:val="19"/>
          <w:szCs w:val="19"/>
        </w:rPr>
        <w:t xml:space="preserve">Jimena Ibañez  ·  entrenaconjime.com  ·  Vigencia desde el 1 de septiembre de 2026</w:t>
      </w:r>
    </w:p>
    <w:p>
      <w:pPr>
        <w:pBdr>
          <w:bottom w:val="single" w:color="9D3A57" w:sz="6" w:space="4"/>
        </w:pBdr>
        <w:spacing w:after="140" w:before="340"/>
      </w:pPr>
      <w:r>
        <w:rPr>
          <w:rFonts w:ascii="Calibri" w:cs="Calibri" w:eastAsia="Calibri" w:hAnsi="Calibri"/>
          <w:b/>
          <w:bCs/>
          <w:color w:val="9D3A57"/>
          <w:sz w:val="26"/>
          <w:szCs w:val="26"/>
        </w:rPr>
        <w:t xml:space="preserve">1. Punto de partida y diagnóstico</w:t>
      </w:r>
    </w:p>
    <w:p>
      <w:pPr>
        <w:spacing w:after="140" w:line="288"/>
      </w:pPr>
      <w:r>
        <w:rPr>
          <w:rFonts w:ascii="Calibri" w:cs="Calibri" w:eastAsia="Calibri" w:hAnsi="Calibri"/>
          <w:color w:val="1F2937"/>
          <w:sz w:val="21"/>
          <w:szCs w:val="21"/>
        </w:rPr>
        <w:t xml:space="preserve">El Método Raíz venía figurando a USD 35/mes. La comparación con el mercado muestra que ese valor está por debajo del piso de la categoría más básica, mientras que el servicio entregado corresponde a la categoría premium. El programa se relanza el 1 de septiembre de 2026 con una estructura de precios nueva.</w:t>
      </w:r>
    </w:p>
    <w:p>
      <w:pPr>
        <w:spacing w:after="140" w:line="288"/>
      </w:pPr>
      <w:r>
        <w:rPr>
          <w:rFonts w:ascii="Calibri" w:cs="Calibri" w:eastAsia="Calibri" w:hAnsi="Calibri"/>
          <w:color w:val="1F2937"/>
          <w:sz w:val="21"/>
          <w:szCs w:val="21"/>
        </w:rPr>
        <w:t xml:space="preserve">El programa incluye: entrenamiento personalizado adaptado a gimnasio o casa, nutrición flexible, soporte por WhatsApp, revisión de fotos, medidas y video cada dos semanas, videollamada 1-a-1 mensual y acceso a comunidad de mujeres.</w:t>
      </w:r>
    </w:p>
    <w:p>
      <w:pPr>
        <w:spacing w:after="100" w:before="220"/>
      </w:pPr>
      <w:r>
        <w:rPr>
          <w:rFonts w:ascii="Calibri" w:cs="Calibri" w:eastAsia="Calibri" w:hAnsi="Calibri"/>
          <w:b/>
          <w:bCs/>
          <w:color w:val="1F2937"/>
          <w:sz w:val="22"/>
          <w:szCs w:val="22"/>
        </w:rPr>
        <w:t xml:space="preserve">Rangos de referencia del mercado (asesorías online)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380"/>
        <w:gridCol w:w="1"/>
        <w:gridCol w:w="1"/>
      </w:tblGrid>
      <w:tr>
        <w:tc>
          <w:tcPr>
            <w:tcW w:type="dxa" w:w="30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Segmento del mercado</w:t>
            </w:r>
          </w:p>
        </w:tc>
        <w:tc>
          <w:tcPr>
            <w:tcW w:type="dxa" w:w="19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Rango mensual</w:t>
            </w:r>
          </w:p>
        </w:tc>
        <w:tc>
          <w:tcPr>
            <w:tcW w:type="dxa" w:w="438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Qué incluye</w:t>
            </w:r>
          </w:p>
        </w:tc>
        <w:tc>
          <w:tcPr>
            <w:tcW w:type="dxa" w:w="1"/>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
            </w:r>
          </w:p>
        </w:tc>
        <w:tc>
          <w:tcPr>
            <w:tcW w:type="dxa" w:w="1"/>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
            </w:r>
          </w:p>
        </w:tc>
      </w:tr>
      <w:tr>
        <w:tc>
          <w:tcPr>
            <w:tcW w:type="dxa" w:w="30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App de rutinas sin seguimiento</w:t>
            </w:r>
          </w:p>
        </w:tc>
        <w:tc>
          <w:tcPr>
            <w:tcW w:type="dxa" w:w="19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15-25 €</w:t>
            </w:r>
          </w:p>
        </w:tc>
        <w:tc>
          <w:tcPr>
            <w:tcW w:type="dxa" w:w="438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Rutinas genéricas, sin contacto humano</w:t>
            </w:r>
          </w:p>
        </w:tc>
        <w:tc>
          <w:tcPr>
            <w:tcW w:type="dxa" w:w="1"/>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30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Seguimiento básico</w:t>
            </w:r>
          </w:p>
        </w:tc>
        <w:tc>
          <w:tcPr>
            <w:tcW w:type="dxa" w:w="19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35-120 €</w:t>
            </w:r>
          </w:p>
        </w:tc>
        <w:tc>
          <w:tcPr>
            <w:tcW w:type="dxa" w:w="438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Plan personalizado y comunicación asincrónica</w:t>
            </w:r>
          </w:p>
        </w:tc>
        <w:tc>
          <w:tcPr>
            <w:tcW w:type="dxa" w:w="1"/>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30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Asesoría intermedia</w:t>
            </w:r>
          </w:p>
        </w:tc>
        <w:tc>
          <w:tcPr>
            <w:tcW w:type="dxa" w:w="19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50-150 €</w:t>
            </w:r>
          </w:p>
        </w:tc>
        <w:tc>
          <w:tcPr>
            <w:tcW w:type="dxa" w:w="438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Entrenamiento + nutrición + seguimiento semanal</w:t>
            </w:r>
          </w:p>
        </w:tc>
        <w:tc>
          <w:tcPr>
            <w:tcW w:type="dxa" w:w="1"/>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30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Premium / élite</w:t>
            </w:r>
          </w:p>
        </w:tc>
        <w:tc>
          <w:tcPr>
            <w:tcW w:type="dxa" w:w="19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150-340 €</w:t>
            </w:r>
          </w:p>
        </w:tc>
        <w:tc>
          <w:tcPr>
            <w:tcW w:type="dxa" w:w="438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Videollamadas, análisis de progreso, soporte por WhatsApp</w:t>
            </w:r>
          </w:p>
        </w:tc>
        <w:tc>
          <w:tcPr>
            <w:tcW w:type="dxa" w:w="1"/>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bl>
    <w:p>
      <w:pPr>
        <w:spacing w:after="150" w:before="60"/>
      </w:pPr>
      <w:r>
        <w:rPr>
          <w:rFonts w:ascii="Calibri" w:cs="Calibri" w:eastAsia="Calibri" w:hAnsi="Calibri"/>
          <w:i/>
          <w:iCs/>
          <w:color w:val="6B7280"/>
          <w:sz w:val="18"/>
          <w:szCs w:val="18"/>
        </w:rPr>
        <w:t xml:space="preserve">Fuentes consultadas: relevamiento de precios de asesorías online de habla hispana, agosto 2026. Valores expresados en euros según las fuentes originales.</w:t>
      </w:r>
    </w:p>
    <w:p>
      <w:pPr>
        <w:spacing w:after="140" w:line="288"/>
      </w:pPr>
      <w:r>
        <w:rPr>
          <w:rFonts w:ascii="Calibri" w:cs="Calibri" w:eastAsia="Calibri" w:hAnsi="Calibri"/>
          <w:color w:val="1F2937"/>
          <w:sz w:val="21"/>
          <w:szCs w:val="21"/>
        </w:rPr>
        <w:t xml:space="preserve">Conclusión del diagnóstico: el servicio entregado corresponde al segmento premium (videollamadas, seguimiento quincenal, nutrición incluida, soporte directo), pero se está cobrando por debajo del segmento más básico.</w:t>
      </w:r>
    </w:p>
    <w:p>
      <w:pPr>
        <w:pBdr>
          <w:bottom w:val="single" w:color="9D3A57" w:sz="6" w:space="4"/>
        </w:pBdr>
        <w:spacing w:after="140" w:before="340"/>
      </w:pPr>
      <w:r>
        <w:rPr>
          <w:rFonts w:ascii="Calibri" w:cs="Calibri" w:eastAsia="Calibri" w:hAnsi="Calibri"/>
          <w:b/>
          <w:bCs/>
          <w:color w:val="9D3A57"/>
          <w:sz w:val="26"/>
          <w:szCs w:val="26"/>
        </w:rPr>
        <w:t xml:space="preserve">2. Restricción clave: es un servicio de alto contacto</w:t>
      </w:r>
    </w:p>
    <w:p>
      <w:pPr>
        <w:spacing w:after="140" w:line="288"/>
      </w:pPr>
      <w:r>
        <w:rPr>
          <w:rFonts w:ascii="Calibri" w:cs="Calibri" w:eastAsia="Calibri" w:hAnsi="Calibri"/>
          <w:color w:val="1F2937"/>
          <w:sz w:val="21"/>
          <w:szCs w:val="21"/>
        </w:rPr>
        <w:t xml:space="preserve">Cada alumna consume aproximadamente 2 a 3 horas mensuales entre revisión quincenal, videollamada y soporte. Esto impone un techo real a la estrategia de volumen: no se puede compensar un precio bajo con más alumnas de forma indefinida, porque el tiempo disponible se agota.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80"/>
        <w:gridCol w:w="1"/>
        <w:gridCol w:w="1"/>
      </w:tblGrid>
      <w:tr>
        <w:tc>
          <w:tcPr>
            <w:tcW w:type="dxa" w:w="26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Precio mensual</w:t>
            </w:r>
          </w:p>
        </w:tc>
        <w:tc>
          <w:tcPr>
            <w:tcW w:type="dxa" w:w="32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Alumnas para USD 1.000</w:t>
            </w:r>
          </w:p>
        </w:tc>
        <w:tc>
          <w:tcPr>
            <w:tcW w:type="dxa" w:w="348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Horas de seguimiento/mes</w:t>
            </w:r>
          </w:p>
        </w:tc>
        <w:tc>
          <w:tcPr>
            <w:tcW w:type="dxa" w:w="1"/>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
            </w:r>
          </w:p>
        </w:tc>
        <w:tc>
          <w:tcPr>
            <w:tcW w:type="dxa" w:w="1"/>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
            </w:r>
          </w:p>
        </w:tc>
      </w:tr>
      <w:tr>
        <w:tc>
          <w:tcPr>
            <w:tcW w:type="dxa" w:w="26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USD 35 (actual)</w:t>
            </w:r>
          </w:p>
        </w:tc>
        <w:tc>
          <w:tcPr>
            <w:tcW w:type="dxa" w:w="32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29 alumnas</w:t>
            </w:r>
          </w:p>
        </w:tc>
        <w:tc>
          <w:tcPr>
            <w:tcW w:type="dxa" w:w="348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60-90 h</w:t>
            </w:r>
          </w:p>
        </w:tc>
        <w:tc>
          <w:tcPr>
            <w:tcW w:type="dxa" w:w="1"/>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26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USD 45 (fundadoras)</w:t>
            </w:r>
          </w:p>
        </w:tc>
        <w:tc>
          <w:tcPr>
            <w:tcW w:type="dxa" w:w="32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22 alumnas</w:t>
            </w:r>
          </w:p>
        </w:tc>
        <w:tc>
          <w:tcPr>
            <w:tcW w:type="dxa" w:w="348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45-65 h</w:t>
            </w:r>
          </w:p>
        </w:tc>
        <w:tc>
          <w:tcPr>
            <w:tcW w:type="dxa" w:w="1"/>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26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USD 70 (lanzamiento)</w:t>
            </w:r>
          </w:p>
        </w:tc>
        <w:tc>
          <w:tcPr>
            <w:tcW w:type="dxa" w:w="32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14 alumnas</w:t>
            </w:r>
          </w:p>
        </w:tc>
        <w:tc>
          <w:tcPr>
            <w:tcW w:type="dxa" w:w="348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30-45 h</w:t>
            </w:r>
          </w:p>
        </w:tc>
        <w:tc>
          <w:tcPr>
            <w:tcW w:type="dxa" w:w="1"/>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26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USD 90 (referencia)</w:t>
            </w:r>
          </w:p>
        </w:tc>
        <w:tc>
          <w:tcPr>
            <w:tcW w:type="dxa" w:w="32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11 alumnas</w:t>
            </w:r>
          </w:p>
        </w:tc>
        <w:tc>
          <w:tcPr>
            <w:tcW w:type="dxa" w:w="348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22-33 h</w:t>
            </w:r>
          </w:p>
        </w:tc>
        <w:tc>
          <w:tcPr>
            <w:tcW w:type="dxa" w:w="1"/>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D3A57" w:sz="4"/>
              <w:left w:val="single" w:color="9D3A57" w:sz="4"/>
              <w:bottom w:val="single" w:color="9D3A57" w:sz="4"/>
              <w:right w:val="single" w:color="9D3A57" w:sz="4"/>
            </w:tcBorders>
            <w:shd w:fill="F3E4E9" w:color="auto" w:val="clear"/>
            <w:tcMar>
              <w:top w:type="dxa" w:w="200"/>
              <w:left w:type="dxa" w:w="240"/>
              <w:bottom w:type="dxa" w:w="200"/>
              <w:right w:type="dxa" w:w="240"/>
            </w:tcMar>
          </w:tcPr>
          <w:p>
            <w:pPr>
              <w:spacing w:after="70"/>
            </w:pPr>
            <w:r>
              <w:rPr>
                <w:rFonts w:ascii="Calibri" w:cs="Calibri" w:eastAsia="Calibri" w:hAnsi="Calibri"/>
                <w:b/>
                <w:bCs/>
                <w:color w:val="9D3A57"/>
                <w:sz w:val="21"/>
                <w:szCs w:val="21"/>
              </w:rPr>
              <w:t xml:space="preserve">Por qué esto define toda la estrategia</w:t>
            </w:r>
          </w:p>
          <w:p>
            <w:pPr>
              <w:spacing w:after="0" w:line="288"/>
            </w:pPr>
            <w:r>
              <w:rPr>
                <w:rFonts w:ascii="Calibri" w:cs="Calibri" w:eastAsia="Calibri" w:hAnsi="Calibri"/>
                <w:color w:val="1F2937"/>
                <w:sz w:val="20"/>
                <w:szCs w:val="20"/>
              </w:rPr>
              <w:t xml:space="preserve">La penetración por precio bajo debe ser explícitamente temporal, con fecha de cierre definida. Si el precio de penetración se vuelve permanente, el negocio queda atrapado en un modelo que exige demasiadas horas para generar ingresos sostenibles.</w:t>
            </w:r>
          </w:p>
        </w:tc>
      </w:tr>
    </w:tbl>
    <w:p>
      <w:pPr>
        <w:pBdr>
          <w:bottom w:val="single" w:color="9D3A57" w:sz="6" w:space="4"/>
        </w:pBdr>
        <w:spacing w:after="140" w:before="340"/>
      </w:pPr>
      <w:r>
        <w:rPr>
          <w:rFonts w:ascii="Calibri" w:cs="Calibri" w:eastAsia="Calibri" w:hAnsi="Calibri"/>
          <w:b/>
          <w:bCs/>
          <w:color w:val="9D3A57"/>
          <w:sz w:val="26"/>
          <w:szCs w:val="26"/>
        </w:rPr>
        <w:t xml:space="preserve">3. Dos escalas de precio: Argentina e internacional</w:t>
      </w:r>
    </w:p>
    <w:p>
      <w:pPr>
        <w:spacing w:after="140" w:line="288"/>
      </w:pPr>
      <w:r>
        <w:rPr>
          <w:rFonts w:ascii="Calibri" w:cs="Calibri" w:eastAsia="Calibri" w:hAnsi="Calibri"/>
          <w:color w:val="1F2937"/>
          <w:sz w:val="21"/>
          <w:szCs w:val="21"/>
        </w:rPr>
        <w:t xml:space="preserve">El programa se ofrece con dos escalas diferenciadas según el país de residencia de la alumna. Es una práctica estándar en servicios online y se justifica por la diferencia de poder adquisitivo entre mercados.</w:t>
      </w:r>
    </w:p>
    <w:p>
      <w:pPr>
        <w:spacing w:after="100" w:before="220"/>
      </w:pPr>
      <w:r>
        <w:rPr>
          <w:rFonts w:ascii="Calibri" w:cs="Calibri" w:eastAsia="Calibri" w:hAnsi="Calibri"/>
          <w:b/>
          <w:bCs/>
          <w:color w:val="1F2937"/>
          <w:sz w:val="22"/>
          <w:szCs w:val="22"/>
        </w:rPr>
        <w:t xml:space="preserve">Escala Argentina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380"/>
        <w:gridCol w:w="1400"/>
        <w:gridCol w:w="1100"/>
        <w:gridCol w:w="2500"/>
      </w:tblGrid>
      <w:tr>
        <w:tc>
          <w:tcPr>
            <w:tcW w:type="dxa" w:w="19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Etapa</w:t>
            </w:r>
          </w:p>
        </w:tc>
        <w:tc>
          <w:tcPr>
            <w:tcW w:type="dxa" w:w="238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Período</w:t>
            </w:r>
          </w:p>
        </w:tc>
        <w:tc>
          <w:tcPr>
            <w:tcW w:type="dxa" w:w="14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Precio</w:t>
            </w:r>
          </w:p>
        </w:tc>
        <w:tc>
          <w:tcPr>
            <w:tcW w:type="dxa" w:w="11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Cupo</w:t>
            </w:r>
          </w:p>
        </w:tc>
        <w:tc>
          <w:tcPr>
            <w:tcW w:type="dxa" w:w="25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Objetivo principal</w:t>
            </w:r>
          </w:p>
        </w:tc>
      </w:tr>
      <w:tr>
        <w:tc>
          <w:tcPr>
            <w:tcW w:type="dxa" w:w="19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Etapa 1
Fundadoras</w:t>
            </w:r>
          </w:p>
        </w:tc>
        <w:tc>
          <w:tcPr>
            <w:tcW w:type="dxa" w:w="238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 sept — 30 nov 2026</w:t>
            </w:r>
          </w:p>
        </w:tc>
        <w:tc>
          <w:tcPr>
            <w:tcW w:type="dxa" w:w="140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USD 45</w:t>
            </w:r>
          </w:p>
        </w:tc>
        <w:tc>
          <w:tcPr>
            <w:tcW w:type="dxa" w:w="11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10-12</w:t>
            </w:r>
          </w:p>
        </w:tc>
        <w:tc>
          <w:tcPr>
            <w:tcW w:type="dxa" w:w="2500"/>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Conseguir testimonios, fotos antes/después y casos documentados</w:t>
            </w:r>
          </w:p>
        </w:tc>
      </w:tr>
      <w:tr>
        <w:tc>
          <w:tcPr>
            <w:tcW w:type="dxa" w:w="19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Etapa 2
Lanzamiento</w:t>
            </w:r>
          </w:p>
        </w:tc>
        <w:tc>
          <w:tcPr>
            <w:tcW w:type="dxa" w:w="238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 dic 2026 — feb 2027</w:t>
            </w:r>
          </w:p>
        </w:tc>
        <w:tc>
          <w:tcPr>
            <w:tcW w:type="dxa" w:w="140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USD 70</w:t>
            </w:r>
          </w:p>
        </w:tc>
        <w:tc>
          <w:tcPr>
            <w:tcW w:type="dxa" w:w="11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Abierto</w:t>
            </w:r>
          </w:p>
        </w:tc>
        <w:tc>
          <w:tcPr>
            <w:tcW w:type="dxa" w:w="2500"/>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Consolidar ingresos con la prueba social ya construida</w:t>
            </w:r>
          </w:p>
        </w:tc>
      </w:tr>
      <w:tr>
        <w:tc>
          <w:tcPr>
            <w:tcW w:type="dxa" w:w="19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Etapa 3
Referencia</w:t>
            </w:r>
          </w:p>
        </w:tc>
        <w:tc>
          <w:tcPr>
            <w:tcW w:type="dxa" w:w="238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Desde marzo 2027</w:t>
            </w:r>
          </w:p>
        </w:tc>
        <w:tc>
          <w:tcPr>
            <w:tcW w:type="dxa" w:w="140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USD 90-110</w:t>
            </w:r>
          </w:p>
        </w:tc>
        <w:tc>
          <w:tcPr>
            <w:tcW w:type="dxa" w:w="11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Abierto</w:t>
            </w:r>
          </w:p>
        </w:tc>
        <w:tc>
          <w:tcPr>
            <w:tcW w:type="dxa" w:w="2500"/>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Precio que corresponde al servicio según el mercado</w:t>
            </w:r>
          </w:p>
        </w:tc>
      </w:tr>
    </w:tbl>
    <w:p>
      <w:pPr>
        <w:spacing w:after="100" w:before="220"/>
      </w:pPr>
      <w:r>
        <w:rPr>
          <w:rFonts w:ascii="Calibri" w:cs="Calibri" w:eastAsia="Calibri" w:hAnsi="Calibri"/>
          <w:b/>
          <w:bCs/>
          <w:color w:val="1F2937"/>
          <w:sz w:val="22"/>
          <w:szCs w:val="22"/>
        </w:rPr>
        <w:t xml:space="preserve">Escala internacional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380"/>
        <w:gridCol w:w="1400"/>
        <w:gridCol w:w="1100"/>
        <w:gridCol w:w="2500"/>
      </w:tblGrid>
      <w:tr>
        <w:tc>
          <w:tcPr>
            <w:tcW w:type="dxa" w:w="19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Etapa</w:t>
            </w:r>
          </w:p>
        </w:tc>
        <w:tc>
          <w:tcPr>
            <w:tcW w:type="dxa" w:w="238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Período</w:t>
            </w:r>
          </w:p>
        </w:tc>
        <w:tc>
          <w:tcPr>
            <w:tcW w:type="dxa" w:w="14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Precio</w:t>
            </w:r>
          </w:p>
        </w:tc>
        <w:tc>
          <w:tcPr>
            <w:tcW w:type="dxa" w:w="11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Cupo</w:t>
            </w:r>
          </w:p>
        </w:tc>
        <w:tc>
          <w:tcPr>
            <w:tcW w:type="dxa" w:w="25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Objetivo principal</w:t>
            </w:r>
          </w:p>
        </w:tc>
      </w:tr>
      <w:tr>
        <w:tc>
          <w:tcPr>
            <w:tcW w:type="dxa" w:w="19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Etapa 1
Fundadoras</w:t>
            </w:r>
          </w:p>
        </w:tc>
        <w:tc>
          <w:tcPr>
            <w:tcW w:type="dxa" w:w="238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 sept — 30 nov 2026</w:t>
            </w:r>
          </w:p>
        </w:tc>
        <w:tc>
          <w:tcPr>
            <w:tcW w:type="dxa" w:w="140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USD 90</w:t>
            </w:r>
          </w:p>
        </w:tc>
        <w:tc>
          <w:tcPr>
            <w:tcW w:type="dxa" w:w="11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5-6</w:t>
            </w:r>
          </w:p>
        </w:tc>
        <w:tc>
          <w:tcPr>
            <w:tcW w:type="dxa" w:w="2500"/>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Testimonios de alumnas captadas por la marca, no por conocimiento previo</w:t>
            </w:r>
          </w:p>
        </w:tc>
      </w:tr>
      <w:tr>
        <w:tc>
          <w:tcPr>
            <w:tcW w:type="dxa" w:w="19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Etapa 2
Lanzamiento</w:t>
            </w:r>
          </w:p>
        </w:tc>
        <w:tc>
          <w:tcPr>
            <w:tcW w:type="dxa" w:w="238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1 dic 2026 — feb 2027</w:t>
            </w:r>
          </w:p>
        </w:tc>
        <w:tc>
          <w:tcPr>
            <w:tcW w:type="dxa" w:w="140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USD 130</w:t>
            </w:r>
          </w:p>
        </w:tc>
        <w:tc>
          <w:tcPr>
            <w:tcW w:type="dxa" w:w="11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Abierto</w:t>
            </w:r>
          </w:p>
        </w:tc>
        <w:tc>
          <w:tcPr>
            <w:tcW w:type="dxa" w:w="2500"/>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Consolidar el mercado internacional con prueba social propia</w:t>
            </w:r>
          </w:p>
        </w:tc>
      </w:tr>
      <w:tr>
        <w:tc>
          <w:tcPr>
            <w:tcW w:type="dxa" w:w="19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Etapa 3
Referencia</w:t>
            </w:r>
          </w:p>
        </w:tc>
        <w:tc>
          <w:tcPr>
            <w:tcW w:type="dxa" w:w="238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Desde marzo 2027</w:t>
            </w:r>
          </w:p>
        </w:tc>
        <w:tc>
          <w:tcPr>
            <w:tcW w:type="dxa" w:w="140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USD 175</w:t>
            </w:r>
          </w:p>
        </w:tc>
        <w:tc>
          <w:tcPr>
            <w:tcW w:type="dxa" w:w="11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Abierto</w:t>
            </w:r>
          </w:p>
        </w:tc>
        <w:tc>
          <w:tcPr>
            <w:tcW w:type="dxa" w:w="2500"/>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Precio premium alineado al mercado internacional</w:t>
            </w:r>
          </w:p>
        </w:tc>
      </w:tr>
    </w:tbl>
    <w:p>
      <w:pPr>
        <w:spacing w:after="150" w:before="60"/>
      </w:pPr>
      <w:r>
        <w:rPr>
          <w:rFonts w:ascii="Calibri" w:cs="Calibri" w:eastAsia="Calibri" w:hAnsi="Calibri"/>
          <w:i/>
          <w:iCs/>
          <w:color w:val="6B7280"/>
          <w:sz w:val="18"/>
          <w:szCs w:val="18"/>
        </w:rPr>
        <w:t xml:space="preserve">Las fechas de las etapas 2 y 3 son orientativas: lo que habilita el paso de una etapa a la siguiente es haber cumplido el objetivo de la anterior, no que se cumpla el calendario.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D3A57" w:sz="4"/>
              <w:left w:val="single" w:color="9D3A57" w:sz="4"/>
              <w:bottom w:val="single" w:color="9D3A57" w:sz="4"/>
              <w:right w:val="single" w:color="9D3A57" w:sz="4"/>
            </w:tcBorders>
            <w:shd w:fill="F3E4E9" w:color="auto" w:val="clear"/>
            <w:tcMar>
              <w:top w:type="dxa" w:w="200"/>
              <w:left w:type="dxa" w:w="240"/>
              <w:bottom w:type="dxa" w:w="200"/>
              <w:right w:type="dxa" w:w="240"/>
            </w:tcMar>
          </w:tcPr>
          <w:p>
            <w:pPr>
              <w:spacing w:after="70"/>
            </w:pPr>
            <w:r>
              <w:rPr>
                <w:rFonts w:ascii="Calibri" w:cs="Calibri" w:eastAsia="Calibri" w:hAnsi="Calibri"/>
                <w:b/>
                <w:bCs/>
                <w:color w:val="9D3A57"/>
                <w:sz w:val="21"/>
                <w:szCs w:val="21"/>
              </w:rPr>
              <w:t xml:space="preserve">Por qué el mercado internacional también arranca con fundadoras</w:t>
            </w:r>
          </w:p>
          <w:p>
            <w:pPr>
              <w:spacing w:after="0" w:line="288"/>
            </w:pPr>
            <w:r>
              <w:rPr>
                <w:rFonts w:ascii="Calibri" w:cs="Calibri" w:eastAsia="Calibri" w:hAnsi="Calibri"/>
                <w:color w:val="1F2937"/>
                <w:sz w:val="20"/>
                <w:szCs w:val="20"/>
              </w:rPr>
              <w:t xml:space="preserve">En el exterior todavía no hay alumnas captadas por la marca: las actuales de Estados Unidos y Puerto Rico llegaron por conocimiento previo. Las fundadoras internacionales aportan justamente lo que falta para sostener un precio de USD 175: testimonios de mujeres que encontraron y eligieron el programa sin conocer a Jimena de antes.</w:t>
            </w:r>
          </w:p>
        </w:tc>
      </w:tr>
    </w:tbl>
    <w:p>
      <w:pPr>
        <w:pBdr>
          <w:bottom w:val="single" w:color="9D3A57" w:sz="6" w:space="4"/>
        </w:pBdr>
        <w:spacing w:after="140" w:before="340"/>
      </w:pPr>
      <w:r>
        <w:rPr>
          <w:rFonts w:ascii="Calibri" w:cs="Calibri" w:eastAsia="Calibri" w:hAnsi="Calibri"/>
          <w:b/>
          <w:bCs/>
          <w:color w:val="9D3A57"/>
          <w:sz w:val="26"/>
          <w:szCs w:val="26"/>
        </w:rPr>
        <w:t xml:space="preserve">4. Cómo se muestran los precios en la web</w:t>
      </w:r>
    </w:p>
    <w:p>
      <w:pPr>
        <w:spacing w:after="140" w:line="288"/>
      </w:pPr>
      <w:r>
        <w:rPr>
          <w:rFonts w:ascii="Calibri" w:cs="Calibri" w:eastAsia="Calibri" w:hAnsi="Calibri"/>
          <w:color w:val="1F2937"/>
          <w:sz w:val="21"/>
          <w:szCs w:val="21"/>
        </w:rPr>
        <w:t xml:space="preserve">El sitio detecta el país de la visitante y le muestra únicamente la escala que le corresponde. De esa forma cada persona ve un solo precio, el suyo, y las dos escalas nunca conviven a la vista.</w:t>
      </w:r>
    </w:p>
    <w:p>
      <w:pPr>
        <w:pStyle w:val="ListParagraph"/>
        <w:numPr>
          <w:ilvl w:val="0"/>
          <w:numId w:val="2"/>
        </w:numPr>
        <w:spacing w:after="70" w:line="276"/>
      </w:pPr>
      <w:r>
        <w:rPr>
          <w:rFonts w:ascii="Calibri" w:cs="Calibri" w:eastAsia="Calibri" w:hAnsi="Calibri"/>
          <w:color w:val="1F2937"/>
          <w:sz w:val="21"/>
          <w:szCs w:val="21"/>
        </w:rPr>
        <w:t xml:space="preserve">Implementación a cargo de Gastón: detección de país por geolocalización en entrenaconjime.com.</w:t>
      </w:r>
    </w:p>
    <w:p>
      <w:pPr>
        <w:pStyle w:val="ListParagraph"/>
        <w:numPr>
          <w:ilvl w:val="0"/>
          <w:numId w:val="2"/>
        </w:numPr>
        <w:spacing w:after="70" w:line="276"/>
      </w:pPr>
      <w:r>
        <w:rPr>
          <w:rFonts w:ascii="Calibri" w:cs="Calibri" w:eastAsia="Calibri" w:hAnsi="Calibri"/>
          <w:color w:val="1F2937"/>
          <w:sz w:val="21"/>
          <w:szCs w:val="21"/>
        </w:rPr>
        <w:t xml:space="preserve">El precio se muestra siempre en formato de oferta: precio de referencia tachado, precio de fundadoras destacado, cupo disponible y fecha de cierre.</w:t>
      </w:r>
    </w:p>
    <w:p>
      <w:pPr>
        <w:pStyle w:val="ListParagraph"/>
        <w:numPr>
          <w:ilvl w:val="0"/>
          <w:numId w:val="2"/>
        </w:numPr>
        <w:spacing w:after="70" w:line="276"/>
      </w:pPr>
      <w:r>
        <w:rPr>
          <w:rFonts w:ascii="Calibri" w:cs="Calibri" w:eastAsia="Calibri" w:hAnsi="Calibri"/>
          <w:color w:val="1F2937"/>
          <w:sz w:val="21"/>
          <w:szCs w:val="21"/>
        </w:rPr>
        <w:t xml:space="preserve">Sin ese formato el precio bajo pierde sentido: lo que genera la urgencia no es el número, sino el contraste con el precio de referencia y el límite de tiempo.</w:t>
      </w:r>
    </w:p>
    <w:p>
      <w:pPr>
        <w:pStyle w:val="ListParagraph"/>
        <w:numPr>
          <w:ilvl w:val="0"/>
          <w:numId w:val="2"/>
        </w:numPr>
        <w:spacing w:after="70" w:line="276"/>
      </w:pPr>
      <w:r>
        <w:rPr>
          <w:rFonts w:ascii="Calibri" w:cs="Calibri" w:eastAsia="Calibri" w:hAnsi="Calibri"/>
          <w:color w:val="1F2937"/>
          <w:sz w:val="21"/>
          <w:szCs w:val="21"/>
        </w:rPr>
        <w:t xml:space="preserve">La única excepción es el adicional de clase en vivo 1 a 1, que figura sin precio.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D3A57" w:sz="4"/>
              <w:left w:val="single" w:color="9D3A57" w:sz="4"/>
              <w:bottom w:val="single" w:color="9D3A57" w:sz="4"/>
              <w:right w:val="single" w:color="9D3A57" w:sz="4"/>
            </w:tcBorders>
            <w:shd w:fill="F3E4E9" w:color="auto" w:val="clear"/>
            <w:tcMar>
              <w:top w:type="dxa" w:w="200"/>
              <w:left w:type="dxa" w:w="240"/>
              <w:bottom w:type="dxa" w:w="200"/>
              <w:right w:type="dxa" w:w="240"/>
            </w:tcMar>
          </w:tcPr>
          <w:p>
            <w:pPr>
              <w:spacing w:after="70"/>
            </w:pPr>
            <w:r>
              <w:rPr>
                <w:rFonts w:ascii="Calibri" w:cs="Calibri" w:eastAsia="Calibri" w:hAnsi="Calibri"/>
                <w:b/>
                <w:bCs/>
                <w:color w:val="9D3A57"/>
                <w:sz w:val="21"/>
                <w:szCs w:val="21"/>
              </w:rPr>
              <w:t xml:space="preserve">Por qué mostrar el precio y no ocultarlo</w:t>
            </w:r>
          </w:p>
          <w:p>
            <w:pPr>
              <w:spacing w:after="0" w:line="288"/>
            </w:pPr>
            <w:r>
              <w:rPr>
                <w:rFonts w:ascii="Calibri" w:cs="Calibri" w:eastAsia="Calibri" w:hAnsi="Calibri"/>
                <w:color w:val="1F2937"/>
                <w:sz w:val="20"/>
                <w:szCs w:val="20"/>
              </w:rPr>
              <w:t xml:space="preserve">El diferencial de esta etapa es justamente el precio de fundadoras: si no está visible, la escasez y la fecha de cierre no comunican nada. Además filtra consultas sin consumir tiempo de entrevista, y evita que un precio oculto se interprete como "debe ser carísimo". Ocultar el precio tiene sentido en servicios de 150-340 € donde hay que construir valor antes; no en esta etapa.</w:t>
            </w:r>
          </w:p>
        </w:tc>
      </w:tr>
    </w:tbl>
    <w:p>
      <w:pPr>
        <w:pBdr>
          <w:bottom w:val="single" w:color="9D3A57" w:sz="6" w:space="4"/>
        </w:pBdr>
        <w:spacing w:after="140" w:before="340"/>
      </w:pPr>
      <w:r>
        <w:rPr>
          <w:rFonts w:ascii="Calibri" w:cs="Calibri" w:eastAsia="Calibri" w:hAnsi="Calibri"/>
          <w:b/>
          <w:bCs/>
          <w:color w:val="9D3A57"/>
          <w:sz w:val="26"/>
          <w:szCs w:val="26"/>
        </w:rPr>
        <w:t xml:space="preserve">5. Qué son las fundadoras</w:t>
      </w:r>
    </w:p>
    <w:p>
      <w:pPr>
        <w:spacing w:after="140" w:line="288"/>
      </w:pPr>
      <w:r>
        <w:rPr>
          <w:rFonts w:ascii="Calibri" w:cs="Calibri" w:eastAsia="Calibri" w:hAnsi="Calibri"/>
          <w:color w:val="1F2937"/>
          <w:sz w:val="21"/>
          <w:szCs w:val="21"/>
        </w:rPr>
        <w:t xml:space="preserve">Es el nombre del primer grupo de alumnas que entra al programa, a un precio menor y por tiempo limitado. No es un producto distinto ni un servicio recortado: reciben exactamente lo mismo que quienes paguen el precio completo después.</w:t>
      </w:r>
    </w:p>
    <w:p>
      <w:pPr>
        <w:pStyle w:val="ListParagraph"/>
        <w:numPr>
          <w:ilvl w:val="0"/>
          <w:numId w:val="2"/>
        </w:numPr>
        <w:spacing w:after="70" w:line="276"/>
      </w:pPr>
      <w:r>
        <w:rPr>
          <w:rFonts w:ascii="Calibri" w:cs="Calibri" w:eastAsia="Calibri" w:hAnsi="Calibri"/>
          <w:color w:val="1F2937"/>
          <w:sz w:val="21"/>
          <w:szCs w:val="21"/>
        </w:rPr>
        <w:t xml:space="preserve">Entran primeras, cuando el programa recién se lanza al mercado.</w:t>
      </w:r>
    </w:p>
    <w:p>
      <w:pPr>
        <w:pStyle w:val="ListParagraph"/>
        <w:numPr>
          <w:ilvl w:val="0"/>
          <w:numId w:val="2"/>
        </w:numPr>
        <w:spacing w:after="70" w:line="276"/>
      </w:pPr>
      <w:r>
        <w:rPr>
          <w:rFonts w:ascii="Calibri" w:cs="Calibri" w:eastAsia="Calibri" w:hAnsi="Calibri"/>
          <w:color w:val="1F2937"/>
          <w:sz w:val="21"/>
          <w:szCs w:val="21"/>
        </w:rPr>
        <w:t xml:space="preserve">Pagan menos que el precio de referencia, y ese precio les queda congelado mientras continúen en el programa.</w:t>
      </w:r>
    </w:p>
    <w:p>
      <w:pPr>
        <w:pStyle w:val="ListParagraph"/>
        <w:numPr>
          <w:ilvl w:val="0"/>
          <w:numId w:val="2"/>
        </w:numPr>
        <w:spacing w:after="70" w:line="276"/>
      </w:pPr>
      <w:r>
        <w:rPr>
          <w:rFonts w:ascii="Calibri" w:cs="Calibri" w:eastAsia="Calibri" w:hAnsi="Calibri"/>
          <w:color w:val="1F2937"/>
          <w:sz w:val="21"/>
          <w:szCs w:val="21"/>
        </w:rPr>
        <w:t xml:space="preserve">A cambio se comprometen a algo concreto: testimonio en video al mes 3, autorización de fotos antes/después y reseña en Google.</w:t>
      </w:r>
    </w:p>
    <w:p>
      <w:pPr>
        <w:spacing w:after="140" w:line="288"/>
      </w:pPr>
      <w:r>
        <w:rPr>
          <w:rFonts w:ascii="Calibri" w:cs="Calibri" w:eastAsia="Calibri" w:hAnsi="Calibri"/>
          <w:color w:val="1F2937"/>
          <w:sz w:val="21"/>
          <w:szCs w:val="21"/>
        </w:rPr>
        <w:t xml:space="preserve">Ese intercambio es lo que evita que sea simplemente regalar plata: ellas reciben un precio mejor, el programa recibe el material que permite cobrar más después. Conviene comunicarlo así de explícito al momento de ofrecerlo.</w:t>
      </w:r>
    </w:p>
    <w:p>
      <w:pPr>
        <w:spacing w:after="150" w:before="60"/>
      </w:pPr>
      <w:r>
        <w:rPr>
          <w:rFonts w:ascii="Calibri" w:cs="Calibri" w:eastAsia="Calibri" w:hAnsi="Calibri"/>
          <w:i/>
          <w:iCs/>
          <w:color w:val="6B7280"/>
          <w:sz w:val="18"/>
          <w:szCs w:val="18"/>
        </w:rPr>
        <w:t xml:space="preserve">En lo comunicacional, "sos parte del primer grupo" funciona mucho mejor que "te hago un descuento": lo primero genera pertenencia, lo segundo devalúa el servicio.</w:t>
      </w:r>
    </w:p>
    <w:p>
      <w:pPr>
        <w:pBdr>
          <w:bottom w:val="single" w:color="9D3A57" w:sz="6" w:space="4"/>
        </w:pBdr>
        <w:spacing w:after="140" w:before="340"/>
      </w:pPr>
      <w:r>
        <w:rPr>
          <w:rFonts w:ascii="Calibri" w:cs="Calibri" w:eastAsia="Calibri" w:hAnsi="Calibri"/>
          <w:b/>
          <w:bCs/>
          <w:color w:val="9D3A57"/>
          <w:sz w:val="26"/>
          <w:szCs w:val="26"/>
        </w:rPr>
        <w:t xml:space="preserve">6. Clase en vivo 1 a 1 (servicio adicional)</w:t>
      </w:r>
    </w:p>
    <w:p>
      <w:pPr>
        <w:spacing w:after="140" w:line="288"/>
      </w:pPr>
      <w:r>
        <w:rPr>
          <w:rFonts w:ascii="Calibri" w:cs="Calibri" w:eastAsia="Calibri" w:hAnsi="Calibri"/>
          <w:color w:val="1F2937"/>
          <w:sz w:val="21"/>
          <w:szCs w:val="21"/>
        </w:rPr>
        <w:t xml:space="preserve">Se incorpora al Método Raíz un adicional de clase en vivo 1 a 1 por videollamada, a USD 15 por clase, que se suma a todo lo que ya incluye el programa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780"/>
        <w:gridCol w:w="1"/>
        <w:gridCol w:w="1"/>
      </w:tblGrid>
      <w:tr>
        <w:tc>
          <w:tcPr>
            <w:tcW w:type="dxa" w:w="34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Concepto</w:t>
            </w:r>
          </w:p>
        </w:tc>
        <w:tc>
          <w:tcPr>
            <w:tcW w:type="dxa" w:w="210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Valor</w:t>
            </w:r>
          </w:p>
        </w:tc>
        <w:tc>
          <w:tcPr>
            <w:tcW w:type="dxa" w:w="3780"/>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Cómo se comunica</w:t>
            </w:r>
          </w:p>
        </w:tc>
        <w:tc>
          <w:tcPr>
            <w:tcW w:type="dxa" w:w="1"/>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
            </w:r>
          </w:p>
        </w:tc>
        <w:tc>
          <w:tcPr>
            <w:tcW w:type="dxa" w:w="1"/>
            <w:shd w:fill="9D3A57" w:color="auto" w:val="clear"/>
            <w:tcMar>
              <w:top w:type="dxa" w:w="85"/>
              <w:left w:type="dxa" w:w="110"/>
              <w:bottom w:type="dxa" w:w="85"/>
              <w:right w:type="dxa" w:w="110"/>
            </w:tcMar>
            <w:vAlign w:val="center"/>
          </w:tcPr>
          <w:p>
            <w:pPr>
              <w:jc w:val="center"/>
            </w:pPr>
            <w:r>
              <w:rPr>
                <w:rFonts w:ascii="Calibri" w:cs="Calibri" w:eastAsia="Calibri" w:hAnsi="Calibri"/>
                <w:b/>
                <w:bCs/>
                <w:color w:val="FFFFFF"/>
                <w:sz w:val="18"/>
                <w:szCs w:val="18"/>
              </w:rPr>
              <w:t xml:space="preserve"/>
            </w:r>
          </w:p>
        </w:tc>
      </w:tr>
      <w:tr>
        <w:tc>
          <w:tcPr>
            <w:tcW w:type="dxa" w:w="3400"/>
            <w:shd w:fill="FFFFFF"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Clase en vivo 1 a 1 (adicional)</w:t>
            </w:r>
          </w:p>
        </w:tc>
        <w:tc>
          <w:tcPr>
            <w:tcW w:type="dxa" w:w="2100"/>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USD 15 por clase</w:t>
            </w:r>
          </w:p>
        </w:tc>
        <w:tc>
          <w:tcPr>
            <w:tcW w:type="dxa" w:w="3780"/>
            <w:shd w:fill="FFFFFF"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Figura en la web como servicio, sin precio publicado</w:t>
            </w:r>
          </w:p>
        </w:tc>
        <w:tc>
          <w:tcPr>
            <w:tcW w:type="dxa" w:w="1"/>
            <w:shd w:fill="FFFFFF"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FFFFF"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r>
        <w:tc>
          <w:tcPr>
            <w:tcW w:type="dxa" w:w="3400"/>
            <w:shd w:fill="F3F4F6" w:color="auto" w:val="clear"/>
            <w:tcMar>
              <w:top w:type="dxa" w:w="80"/>
              <w:left w:type="dxa" w:w="110"/>
              <w:bottom w:type="dxa" w:w="80"/>
              <w:right w:type="dxa" w:w="110"/>
            </w:tcMar>
            <w:vAlign w:val="center"/>
          </w:tcPr>
          <w:p>
            <w:pPr>
              <w:jc w:val="left"/>
            </w:pPr>
            <w:r>
              <w:rPr>
                <w:rFonts w:ascii="Calibri" w:cs="Calibri" w:eastAsia="Calibri" w:hAnsi="Calibri"/>
                <w:b/>
                <w:bCs/>
                <w:color w:val="1F2937"/>
                <w:sz w:val="18"/>
                <w:szCs w:val="18"/>
              </w:rPr>
              <w:t xml:space="preserve">Base del programa</w:t>
            </w:r>
          </w:p>
        </w:tc>
        <w:tc>
          <w:tcPr>
            <w:tcW w:type="dxa" w:w="2100"/>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Según escala y país</w:t>
            </w:r>
          </w:p>
        </w:tc>
        <w:tc>
          <w:tcPr>
            <w:tcW w:type="dxa" w:w="3780"/>
            <w:shd w:fill="F3F4F6" w:color="auto" w:val="clear"/>
            <w:tcMar>
              <w:top w:type="dxa" w:w="80"/>
              <w:left w:type="dxa" w:w="110"/>
              <w:bottom w:type="dxa" w:w="80"/>
              <w:right w:type="dxa" w:w="110"/>
            </w:tcMar>
            <w:vAlign w:val="center"/>
          </w:tcPr>
          <w:p>
            <w:pPr>
              <w:jc w:val="center"/>
            </w:pPr>
            <w:r>
              <w:rPr>
                <w:rFonts w:ascii="Calibri" w:cs="Calibri" w:eastAsia="Calibri" w:hAnsi="Calibri"/>
                <w:b/>
                <w:bCs/>
                <w:color w:val="9D3A57"/>
                <w:sz w:val="18"/>
                <w:szCs w:val="18"/>
              </w:rPr>
              <w:t xml:space="preserve">Se muestra en la web según el país de la visitante</w:t>
            </w:r>
          </w:p>
        </w:tc>
        <w:tc>
          <w:tcPr>
            <w:tcW w:type="dxa" w:w="1"/>
            <w:shd w:fill="F3F4F6" w:color="auto" w:val="clear"/>
            <w:tcMar>
              <w:top w:type="dxa" w:w="80"/>
              <w:left w:type="dxa" w:w="110"/>
              <w:bottom w:type="dxa" w:w="80"/>
              <w:right w:type="dxa" w:w="110"/>
            </w:tcMar>
            <w:vAlign w:val="center"/>
          </w:tcPr>
          <w:p>
            <w:pPr>
              <w:jc w:val="center"/>
            </w:pPr>
            <w:r>
              <w:rPr>
                <w:rFonts w:ascii="Calibri" w:cs="Calibri" w:eastAsia="Calibri" w:hAnsi="Calibri"/>
                <w:b w:val="false"/>
                <w:bCs w:val="false"/>
                <w:color w:val="1F2937"/>
                <w:sz w:val="18"/>
                <w:szCs w:val="18"/>
              </w:rPr>
              <w:t xml:space="preserve"/>
            </w:r>
          </w:p>
        </w:tc>
        <w:tc>
          <w:tcPr>
            <w:tcW w:type="dxa" w:w="1"/>
            <w:shd w:fill="F3F4F6"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1F2937"/>
                <w:sz w:val="18"/>
                <w:szCs w:val="18"/>
              </w:rPr>
              <w:t xml:space="preserve"/>
            </w:r>
          </w:p>
        </w:tc>
      </w:tr>
    </w:tbl>
    <w:p>
      <w:pPr>
        <w:pStyle w:val="ListParagraph"/>
        <w:numPr>
          <w:ilvl w:val="0"/>
          <w:numId w:val="2"/>
        </w:numPr>
        <w:spacing w:after="70" w:line="276"/>
      </w:pPr>
      <w:r>
        <w:rPr>
          <w:rFonts w:ascii="Calibri" w:cs="Calibri" w:eastAsia="Calibri" w:hAnsi="Calibri"/>
          <w:color w:val="1F2937"/>
          <w:sz w:val="21"/>
          <w:szCs w:val="21"/>
        </w:rPr>
        <w:t xml:space="preserve">Aparece en la web como servicio disponible, pero sin precio publicado.</w:t>
      </w:r>
    </w:p>
    <w:p>
      <w:pPr>
        <w:pStyle w:val="ListParagraph"/>
        <w:numPr>
          <w:ilvl w:val="0"/>
          <w:numId w:val="2"/>
        </w:numPr>
        <w:spacing w:after="70" w:line="276"/>
      </w:pPr>
      <w:r>
        <w:rPr>
          <w:rFonts w:ascii="Calibri" w:cs="Calibri" w:eastAsia="Calibri" w:hAnsi="Calibri"/>
          <w:color w:val="1F2937"/>
          <w:sz w:val="21"/>
          <w:szCs w:val="21"/>
        </w:rPr>
        <w:t xml:space="preserve">El precio del adicional se revela en la entrevista inicial gratuita.</w:t>
      </w:r>
    </w:p>
    <w:p>
      <w:pPr>
        <w:pStyle w:val="ListParagraph"/>
        <w:numPr>
          <w:ilvl w:val="0"/>
          <w:numId w:val="2"/>
        </w:numPr>
        <w:spacing w:after="70" w:line="276"/>
      </w:pPr>
      <w:r>
        <w:rPr>
          <w:rFonts w:ascii="Calibri" w:cs="Calibri" w:eastAsia="Calibri" w:hAnsi="Calibri"/>
          <w:color w:val="1F2937"/>
          <w:sz w:val="21"/>
          <w:szCs w:val="21"/>
        </w:rPr>
        <w:t xml:space="preserve">Permite subir el ticket promedio sin tocar el precio del programa, y sirve como opción para quien necesita más acompañamiento.</w:t>
      </w:r>
    </w:p>
    <w:p>
      <w:pPr>
        <w:spacing w:after="150" w:before="60"/>
      </w:pPr>
      <w:r>
        <w:rPr>
          <w:rFonts w:ascii="Calibri" w:cs="Calibri" w:eastAsia="Calibri" w:hAnsi="Calibri"/>
          <w:i/>
          <w:iCs/>
          <w:color w:val="6B7280"/>
          <w:sz w:val="18"/>
          <w:szCs w:val="18"/>
        </w:rPr>
        <w:t xml:space="preserve">El adicional es la única parte de la oferta sin precio visible: al ser un extra, publicarlo complicaría la lectura de la oferta principal.</w:t>
      </w:r>
    </w:p>
    <w:p>
      <w:pPr>
        <w:pBdr>
          <w:bottom w:val="single" w:color="9D3A57" w:sz="6" w:space="4"/>
        </w:pBdr>
        <w:spacing w:after="140" w:before="340"/>
      </w:pPr>
      <w:r>
        <w:rPr>
          <w:rFonts w:ascii="Calibri" w:cs="Calibri" w:eastAsia="Calibri" w:hAnsi="Calibri"/>
          <w:b/>
          <w:bCs/>
          <w:color w:val="9D3A57"/>
          <w:sz w:val="26"/>
          <w:szCs w:val="26"/>
        </w:rPr>
        <w:t xml:space="preserve">7. Las cuatro reglas que hacen que funcione</w:t>
      </w:r>
    </w:p>
    <w:p>
      <w:pPr>
        <w:spacing w:after="140" w:line="288"/>
      </w:pPr>
      <w:r>
        <w:rPr>
          <w:rFonts w:ascii="Calibri" w:cs="Calibri" w:eastAsia="Calibri" w:hAnsi="Calibri"/>
          <w:color w:val="1F2937"/>
          <w:sz w:val="21"/>
          <w:szCs w:val="21"/>
        </w:rPr>
        <w:t xml:space="preserve">Sin estas reglas, la estrategia deja de ser penetración de mercado y pasa a ser simplemente un precio bajo:</w:t>
      </w:r>
    </w:p>
    <w:p>
      <w:pPr>
        <w:pStyle w:val="ListParagraph"/>
        <w:numPr>
          <w:ilvl w:val="0"/>
          <w:numId w:val="2"/>
        </w:numPr>
        <w:spacing w:after="70" w:line="276"/>
      </w:pPr>
      <w:r>
        <w:rPr>
          <w:rFonts w:ascii="Calibri" w:cs="Calibri" w:eastAsia="Calibri" w:hAnsi="Calibri"/>
          <w:color w:val="1F2937"/>
          <w:sz w:val="21"/>
          <w:szCs w:val="21"/>
        </w:rPr>
        <w:t xml:space="preserve">Escasez real, no inventada. "Solo tomo 10 alumnas por mes porque el seguimiento es personalizado" es verdad y se sostiene sola. No inventar urgencia falsa.</w:t>
      </w:r>
    </w:p>
    <w:p>
      <w:pPr>
        <w:pStyle w:val="ListParagraph"/>
        <w:numPr>
          <w:ilvl w:val="0"/>
          <w:numId w:val="2"/>
        </w:numPr>
        <w:spacing w:after="70" w:line="276"/>
      </w:pPr>
      <w:r>
        <w:rPr>
          <w:rFonts w:ascii="Calibri" w:cs="Calibri" w:eastAsia="Calibri" w:hAnsi="Calibri"/>
          <w:color w:val="1F2937"/>
          <w:sz w:val="21"/>
          <w:szCs w:val="21"/>
        </w:rPr>
        <w:t xml:space="preserve">Fecha de cierre visible. Sin deadline no hay penetración, hay precio bajo permanente.</w:t>
      </w:r>
    </w:p>
    <w:p>
      <w:pPr>
        <w:pStyle w:val="ListParagraph"/>
        <w:numPr>
          <w:ilvl w:val="0"/>
          <w:numId w:val="2"/>
        </w:numPr>
        <w:spacing w:after="70" w:line="276"/>
      </w:pPr>
      <w:r>
        <w:rPr>
          <w:rFonts w:ascii="Calibri" w:cs="Calibri" w:eastAsia="Calibri" w:hAnsi="Calibri"/>
          <w:color w:val="1F2937"/>
          <w:sz w:val="21"/>
          <w:szCs w:val="21"/>
        </w:rPr>
        <w:t xml:space="preserve">Precio congelado para las fundadoras. Genera retención alta y convierte el precio bajo en un privilegio ganado, no en una devaluación del servicio.</w:t>
      </w:r>
    </w:p>
    <w:p>
      <w:pPr>
        <w:pStyle w:val="ListParagraph"/>
        <w:numPr>
          <w:ilvl w:val="0"/>
          <w:numId w:val="2"/>
        </w:numPr>
        <w:spacing w:after="70" w:line="276"/>
      </w:pPr>
      <w:r>
        <w:rPr>
          <w:rFonts w:ascii="Calibri" w:cs="Calibri" w:eastAsia="Calibri" w:hAnsi="Calibri"/>
          <w:color w:val="1F2937"/>
          <w:sz w:val="21"/>
          <w:szCs w:val="21"/>
        </w:rPr>
        <w:t xml:space="preserve">Mostrar siempre el precio de referencia tachado. El ancla mental debe ser el precio de la etapa 3, con el de fundadoras como excepción temporal.</w:t>
      </w:r>
    </w:p>
    <w:p>
      <w:pPr>
        <w:pBdr>
          <w:bottom w:val="single" w:color="9D3A57" w:sz="6" w:space="4"/>
        </w:pBdr>
        <w:spacing w:after="140" w:before="340"/>
      </w:pPr>
      <w:r>
        <w:rPr>
          <w:rFonts w:ascii="Calibri" w:cs="Calibri" w:eastAsia="Calibri" w:hAnsi="Calibri"/>
          <w:b/>
          <w:bCs/>
          <w:color w:val="9D3A57"/>
          <w:sz w:val="26"/>
          <w:szCs w:val="26"/>
        </w:rPr>
        <w:t xml:space="preserve">8. Alumnas actuales</w:t>
      </w:r>
    </w:p>
    <w:p>
      <w:pPr>
        <w:spacing w:after="140" w:line="288"/>
      </w:pPr>
      <w:r>
        <w:rPr>
          <w:rFonts w:ascii="Calibri" w:cs="Calibri" w:eastAsia="Calibri" w:hAnsi="Calibri"/>
          <w:color w:val="1F2937"/>
          <w:sz w:val="21"/>
          <w:szCs w:val="21"/>
        </w:rPr>
        <w:t xml:space="preserve">Las alumnas actuales están en un plan distinto, sin relación con el Método Raíz. Por lo tanto no hay conflicto de precios ni necesidad de congelar valores: el Método Raíz se lanza limpio el 1 de septiembre de 2026, y sus fundadoras son literalmente las primeras alumnas del programa.</w:t>
      </w:r>
    </w:p>
    <w:p>
      <w:pPr>
        <w:spacing w:after="100" w:before="220"/>
      </w:pPr>
      <w:r>
        <w:rPr>
          <w:rFonts w:ascii="Calibri" w:cs="Calibri" w:eastAsia="Calibri" w:hAnsi="Calibri"/>
          <w:b/>
          <w:bCs/>
          <w:color w:val="1F2937"/>
          <w:sz w:val="22"/>
          <w:szCs w:val="22"/>
        </w:rPr>
        <w:t xml:space="preserve">Dos definiciones pendientes</w:t>
      </w:r>
    </w:p>
    <w:p>
      <w:pPr>
        <w:pStyle w:val="ListParagraph"/>
        <w:numPr>
          <w:ilvl w:val="0"/>
          <w:numId w:val="2"/>
        </w:numPr>
        <w:spacing w:after="70" w:line="276"/>
      </w:pPr>
      <w:r>
        <w:rPr>
          <w:rFonts w:ascii="Calibri" w:cs="Calibri" w:eastAsia="Calibri" w:hAnsi="Calibri"/>
          <w:color w:val="1F2937"/>
          <w:sz w:val="21"/>
          <w:szCs w:val="21"/>
        </w:rPr>
        <w:t xml:space="preserve">Definir si el plan actual va a seguir existiendo en paralelo al Método Raíz. Si conviven, hace falta poder explicar en una sola frase qué diferencia a uno del otro — de lo contrario, quien consulta no sabe cuál elegir y esa duda frena la decisión.</w:t>
      </w:r>
    </w:p>
    <w:p>
      <w:pPr>
        <w:pStyle w:val="ListParagraph"/>
        <w:numPr>
          <w:ilvl w:val="0"/>
          <w:numId w:val="2"/>
        </w:numPr>
        <w:spacing w:after="70" w:line="276"/>
      </w:pPr>
      <w:r>
        <w:rPr>
          <w:rFonts w:ascii="Calibri" w:cs="Calibri" w:eastAsia="Calibri" w:hAnsi="Calibri"/>
          <w:color w:val="1F2937"/>
          <w:sz w:val="21"/>
          <w:szCs w:val="21"/>
        </w:rPr>
        <w:t xml:space="preserve">Definir si a las alumnas del plan actual se les ofrece pasarse al Método Raíz, y en ese caso si tienen un precio de traspaso o entran como cualquier fundadora.</w:t>
      </w:r>
    </w:p>
    <w:p>
      <w:pPr>
        <w:pBdr>
          <w:bottom w:val="single" w:color="9D3A57" w:sz="6" w:space="4"/>
        </w:pBdr>
        <w:spacing w:after="140" w:before="340"/>
      </w:pPr>
      <w:r>
        <w:rPr>
          <w:rFonts w:ascii="Calibri" w:cs="Calibri" w:eastAsia="Calibri" w:hAnsi="Calibri"/>
          <w:b/>
          <w:bCs/>
          <w:color w:val="9D3A57"/>
          <w:sz w:val="26"/>
          <w:szCs w:val="26"/>
        </w:rPr>
        <w:t xml:space="preserve">9. Riesgo a monitorear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854F0B" w:sz="4"/>
              <w:left w:val="single" w:color="854F0B" w:sz="4"/>
              <w:bottom w:val="single" w:color="854F0B" w:sz="4"/>
              <w:right w:val="single" w:color="854F0B" w:sz="4"/>
            </w:tcBorders>
            <w:shd w:fill="FAEEDA" w:color="auto" w:val="clear"/>
            <w:tcMar>
              <w:top w:type="dxa" w:w="200"/>
              <w:left w:type="dxa" w:w="240"/>
              <w:bottom w:type="dxa" w:w="200"/>
              <w:right w:type="dxa" w:w="240"/>
            </w:tcMar>
          </w:tcPr>
          <w:p>
            <w:pPr>
              <w:spacing w:after="70"/>
            </w:pPr>
            <w:r>
              <w:rPr>
                <w:rFonts w:ascii="Calibri" w:cs="Calibri" w:eastAsia="Calibri" w:hAnsi="Calibri"/>
                <w:b/>
                <w:bCs/>
                <w:color w:val="854F0B"/>
                <w:sz w:val="21"/>
                <w:szCs w:val="21"/>
              </w:rPr>
              <w:t xml:space="preserve">El precio bajo atrae un perfil más sensible al precio</w:t>
            </w:r>
          </w:p>
          <w:p>
            <w:pPr>
              <w:spacing w:after="0" w:line="288"/>
            </w:pPr>
            <w:r>
              <w:rPr>
                <w:rFonts w:ascii="Calibri" w:cs="Calibri" w:eastAsia="Calibri" w:hAnsi="Calibri"/>
                <w:color w:val="1F2937"/>
                <w:sz w:val="20"/>
                <w:szCs w:val="20"/>
              </w:rPr>
              <w:t xml:space="preserve">Ese perfil suele tener menor adherencia y abandona antes, algo que juega en contra de un enfoque basado en procesos de 6 a 12 meses y hábitos sostenidos. La entrevista inicial gratuita es la herramienta de filtro: permite seleccionar por compromiso y no solo por presupuesto. Si una candidata se interesa únicamente por el precio y no por el método, es probable que no llegue al mes 3.</w:t>
            </w:r>
          </w:p>
        </w:tc>
      </w:tr>
    </w:tbl>
    <w:p>
      <w:pPr>
        <w:pBdr>
          <w:bottom w:val="single" w:color="9D3A57" w:sz="6" w:space="4"/>
        </w:pBdr>
        <w:spacing w:after="140" w:before="340"/>
      </w:pPr>
      <w:r>
        <w:rPr>
          <w:rFonts w:ascii="Calibri" w:cs="Calibri" w:eastAsia="Calibri" w:hAnsi="Calibri"/>
          <w:b/>
          <w:bCs/>
          <w:color w:val="9D3A57"/>
          <w:sz w:val="26"/>
          <w:szCs w:val="26"/>
        </w:rPr>
        <w:t xml:space="preserve">10. Indicadores a seguir en cada etapa</w:t>
      </w:r>
    </w:p>
    <w:p>
      <w:pPr>
        <w:pStyle w:val="ListParagraph"/>
        <w:numPr>
          <w:ilvl w:val="0"/>
          <w:numId w:val="2"/>
        </w:numPr>
        <w:spacing w:after="70" w:line="276"/>
      </w:pPr>
      <w:r>
        <w:rPr>
          <w:rFonts w:ascii="Calibri" w:cs="Calibri" w:eastAsia="Calibri" w:hAnsi="Calibri"/>
          <w:color w:val="1F2937"/>
          <w:sz w:val="21"/>
          <w:szCs w:val="21"/>
        </w:rPr>
        <w:t xml:space="preserve">Cantidad de alumnas activas y cupo disponible.</w:t>
      </w:r>
    </w:p>
    <w:p>
      <w:pPr>
        <w:pStyle w:val="ListParagraph"/>
        <w:numPr>
          <w:ilvl w:val="0"/>
          <w:numId w:val="2"/>
        </w:numPr>
        <w:spacing w:after="70" w:line="276"/>
      </w:pPr>
      <w:r>
        <w:rPr>
          <w:rFonts w:ascii="Calibri" w:cs="Calibri" w:eastAsia="Calibri" w:hAnsi="Calibri"/>
          <w:color w:val="1F2937"/>
          <w:sz w:val="21"/>
          <w:szCs w:val="21"/>
        </w:rPr>
        <w:t xml:space="preserve">Tasa de conversión: entrevistas realizadas versus altas concretadas.</w:t>
      </w:r>
    </w:p>
    <w:p>
      <w:pPr>
        <w:pStyle w:val="ListParagraph"/>
        <w:numPr>
          <w:ilvl w:val="0"/>
          <w:numId w:val="2"/>
        </w:numPr>
        <w:spacing w:after="70" w:line="276"/>
      </w:pPr>
      <w:r>
        <w:rPr>
          <w:rFonts w:ascii="Calibri" w:cs="Calibri" w:eastAsia="Calibri" w:hAnsi="Calibri"/>
          <w:color w:val="1F2937"/>
          <w:sz w:val="21"/>
          <w:szCs w:val="21"/>
        </w:rPr>
        <w:t xml:space="preserve">Retención a 3 y 6 meses (es el indicador que valida si el perfil de alumna es el correcto).</w:t>
      </w:r>
    </w:p>
    <w:p>
      <w:pPr>
        <w:pStyle w:val="ListParagraph"/>
        <w:numPr>
          <w:ilvl w:val="0"/>
          <w:numId w:val="2"/>
        </w:numPr>
        <w:spacing w:after="70" w:line="276"/>
      </w:pPr>
      <w:r>
        <w:rPr>
          <w:rFonts w:ascii="Calibri" w:cs="Calibri" w:eastAsia="Calibri" w:hAnsi="Calibri"/>
          <w:color w:val="1F2937"/>
          <w:sz w:val="21"/>
          <w:szCs w:val="21"/>
        </w:rPr>
        <w:t xml:space="preserve">Testimonios, fotos y reseñas obtenidos durante la etapa fundadoras.</w:t>
      </w:r>
    </w:p>
    <w:p>
      <w:pPr>
        <w:pStyle w:val="ListParagraph"/>
        <w:numPr>
          <w:ilvl w:val="0"/>
          <w:numId w:val="2"/>
        </w:numPr>
        <w:spacing w:after="70" w:line="276"/>
      </w:pPr>
      <w:r>
        <w:rPr>
          <w:rFonts w:ascii="Calibri" w:cs="Calibri" w:eastAsia="Calibri" w:hAnsi="Calibri"/>
          <w:color w:val="1F2937"/>
          <w:sz w:val="21"/>
          <w:szCs w:val="21"/>
        </w:rPr>
        <w:t xml:space="preserve">Horas mensuales de seguimiento dedicadas, para verificar que el modelo sigue siendo sostenible.</w:t>
      </w:r>
    </w:p>
    <w:p>
      <w:pPr>
        <w:pBdr>
          <w:top w:val="single" w:color="F3F4F6" w:sz="4" w:space="8"/>
        </w:pBdr>
        <w:spacing w:before="320"/>
      </w:pPr>
      <w:r>
        <w:rPr>
          <w:rFonts w:ascii="Calibri" w:cs="Calibri" w:eastAsia="Calibri" w:hAnsi="Calibri"/>
          <w:i/>
          <w:iCs/>
          <w:color w:val="6B7280"/>
          <w:sz w:val="17"/>
          <w:szCs w:val="17"/>
        </w:rPr>
        <w:t xml:space="preserve">Documento de estrategia interna. Revisar al cierre de cada etapa antes de habilitar la siguiente.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2026-08-27T16:33:52.674Z</dcterms:created>
  <dcterms:modified xsi:type="dcterms:W3CDTF">2026-08-27T16:33:52.689Z</dcterms:modified>
</cp:coreProperties>
</file>

<file path=docProps/custom.xml><?xml version="1.0" encoding="utf-8"?>
<Properties xmlns="http://schemas.openxmlformats.org/officeDocument/2006/custom-properties" xmlns:vt="http://schemas.openxmlformats.org/officeDocument/2006/docPropsVTypes"/>
</file>