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0.1 · 13/10/2026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539_2493646068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1_2493646068">
            <w:r>
              <w:rPr>
                <w:rStyle w:val="IndexLink"/>
              </w:rPr>
              <w:t>1.1. Contexto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3_2493646068">
            <w:r>
              <w:rPr>
                <w:rStyle w:val="IndexLink"/>
              </w:rPr>
              <w:t>1.2. Objetivos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5_2493646068">
            <w:r>
              <w:rPr>
                <w:rStyle w:val="IndexLink"/>
              </w:rPr>
              <w:t>1.3. Alcance de esta memoria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47_2493646068">
            <w:r>
              <w:rPr>
                <w:rStyle w:val="IndexLink"/>
              </w:rPr>
              <w:t>2. Metodología de trabajo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49_2493646068">
            <w:r>
              <w:rPr>
                <w:rStyle w:val="IndexLink"/>
              </w:rPr>
              <w:t>2.1. Enfoque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1_2493646068">
            <w:r>
              <w:rPr>
                <w:rStyle w:val="IndexLink"/>
              </w:rPr>
              <w:t>2.2. Desarrollo asistido por inteligencia artificial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3_2493646068">
            <w:r>
              <w:rPr>
                <w:rStyle w:val="IndexLink"/>
              </w:rPr>
              <w:t>2.3. Herramientas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55_2493646068">
            <w:r>
              <w:rPr>
                <w:rStyle w:val="IndexLink"/>
              </w:rPr>
              <w:t>3. Requisitos de la plataforma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57_2493646068">
            <w:r>
              <w:rPr>
                <w:rStyle w:val="IndexLink"/>
              </w:rPr>
              <w:t>4. Arquitectura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59_2493646068">
            <w:r>
              <w:rPr>
                <w:rStyle w:val="IndexLink"/>
              </w:rPr>
              <w:t>4.1. Organización del repositorio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61_2493646068">
            <w:r>
              <w:rPr>
                <w:rStyle w:val="IndexLink"/>
              </w:rPr>
              <w:t>5. Fuentes de datos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3_2493646068">
            <w:r>
              <w:rPr>
                <w:rStyle w:val="IndexLink"/>
              </w:rPr>
              <w:t>5.1. Validación de las fuentes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5_2493646068">
            <w:r>
              <w:rPr>
                <w:rStyle w:val="IndexLink"/>
              </w:rPr>
              <w:t>5.2. GDELT: el principal desafío técnico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67_2493646068">
            <w:r>
              <w:rPr>
                <w:rStyle w:val="IndexLink"/>
              </w:rPr>
              <w:t>5.3. Archivos de carga manual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69_2493646068">
            <w:r>
              <w:rPr>
                <w:rStyle w:val="IndexLink"/>
              </w:rPr>
              <w:t>6. Clasificación por reglas (Fase 1)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1_2493646068">
            <w:r>
              <w:rPr>
                <w:rStyle w:val="IndexLink"/>
              </w:rPr>
              <w:t>6.1. Noticias geopolíticas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3_2493646068">
            <w:r>
              <w:rPr>
                <w:rStyle w:val="IndexLink"/>
              </w:rPr>
              <w:t>6.2. Noticias de ataque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5_2493646068">
            <w:r>
              <w:rPr>
                <w:rStyle w:val="IndexLink"/>
              </w:rPr>
              <w:t>6.3. Mapeo a MITRE ATT&amp;CK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77_2493646068">
            <w:r>
              <w:rPr>
                <w:rStyle w:val="IndexLink"/>
              </w:rPr>
              <w:t>7. El semáforo de alertas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79_2493646068">
            <w:r>
              <w:rPr>
                <w:rStyle w:val="IndexLink"/>
              </w:rPr>
              <w:t>7.1. Reglas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81_2493646068">
            <w:r>
              <w:rPr>
                <w:rStyle w:val="IndexLink"/>
              </w:rPr>
              <w:t>7.2. Ejemplo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83_2493646068">
            <w:r>
              <w:rPr>
                <w:rStyle w:val="IndexLink"/>
              </w:rPr>
              <w:t>7.3. Parámetros configurables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85_2493646068">
            <w:r>
              <w:rPr>
                <w:rStyle w:val="IndexLink"/>
              </w:rPr>
              <w:t>8. La página web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87_2493646068">
            <w:r>
              <w:rPr>
                <w:rStyle w:val="IndexLink"/>
              </w:rPr>
              <w:t>8.1. Componentes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89_2493646068">
            <w:r>
              <w:rPr>
                <w:rStyle w:val="IndexLink"/>
              </w:rPr>
              <w:t>9. Automatización y puesta en marcha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91_2493646068">
            <w:r>
              <w:rPr>
                <w:rStyle w:val="IndexLink"/>
              </w:rPr>
              <w:t>9.1. Workflows de GitHub Actions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93_2493646068">
            <w:r>
              <w:rPr>
                <w:rStyle w:val="IndexLink"/>
              </w:rPr>
              <w:t>9.2. Configuración realizada por el autor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95_2493646068">
            <w:r>
              <w:rPr>
                <w:rStyle w:val="IndexLink"/>
              </w:rPr>
              <w:t>9.3. Flujo de cambios con Pull Requests</w:t>
              <w:tab/>
              <w:t>17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97_2493646068">
            <w:r>
              <w:rPr>
                <w:rStyle w:val="IndexLink"/>
              </w:rPr>
              <w:t>10. Pruebas y verificación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599_2493646068">
            <w:r>
              <w:rPr>
                <w:rStyle w:val="IndexLink"/>
              </w:rPr>
              <w:t>10.1. Pruebas automáticas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01_2493646068">
            <w:r>
              <w:rPr>
                <w:rStyle w:val="IndexLink"/>
              </w:rPr>
              <w:t>10.2. Verificaciones con datos reales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03_2493646068">
            <w:r>
              <w:rPr>
                <w:rStyle w:val="IndexLink"/>
              </w:rPr>
              <w:t>11. Problemas encontrados y soluciones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05_2493646068">
            <w:r>
              <w:rPr>
                <w:rStyle w:val="IndexLink"/>
              </w:rPr>
              <w:t>12. Decisiones técnicas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07_2493646068">
            <w:r>
              <w:rPr>
                <w:rStyle w:val="IndexLink"/>
              </w:rPr>
              <w:t>13. Estado actual y próximos pasos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09_2493646068">
            <w:r>
              <w:rPr>
                <w:rStyle w:val="IndexLink"/>
              </w:rPr>
              <w:t>13.1. Estado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11_2493646068">
            <w:r>
              <w:rPr>
                <w:rStyle w:val="IndexLink"/>
              </w:rPr>
              <w:t>13.2. Tareas pendientes del autor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1613_2493646068">
            <w:r>
              <w:rPr>
                <w:rStyle w:val="IndexLink"/>
              </w:rPr>
              <w:t>13.3. Próximos pasos propuestos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15_2493646068">
            <w:r>
              <w:rPr>
                <w:rStyle w:val="IndexLink"/>
              </w:rPr>
              <w:t>Anexo A. Bitácora del proyecto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617_2493646068">
            <w:r>
              <w:rPr>
                <w:rStyle w:val="IndexLink"/>
              </w:rPr>
              <w:t>Anexo B. Glosario</w:t>
              <w:tab/>
              <w:t>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1539_2493646068"/>
      <w:bookmarkEnd w:id="0"/>
      <w:r>
        <w:rPr/>
        <w:t>1. Introducción</w:t>
      </w:r>
    </w:p>
    <w:p>
      <w:pPr>
        <w:pStyle w:val="Heading2"/>
        <w:rPr/>
      </w:pPr>
      <w:bookmarkStart w:id="1" w:name="__RefHeading___Toc1541_2493646068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1543_2493646068"/>
      <w:bookmarkEnd w:id="2"/>
      <w:r>
        <w:rPr/>
        <w:t>1.2. Objetivos</w:t>
      </w:r>
    </w:p>
    <w:p>
      <w:pPr>
        <w:pStyle w:val="ListParagraph"/>
        <w:numPr>
          <w:ilvl w:val="0"/>
          <w:numId w:val="8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1545_2493646068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1547_2493646068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1549_2493646068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1551_2493646068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1553_2493646068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1555_2493646068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1557_2493646068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1559_2493646068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1561_2493646068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1563_2493646068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1565_2493646068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1567_2493646068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1"/>
        <w:rPr/>
      </w:pPr>
      <w:r>
        <w:br w:type="page"/>
      </w:r>
      <w:bookmarkStart w:id="15" w:name="__RefHeading___Toc1569_2493646068"/>
      <w:bookmarkEnd w:id="15"/>
      <w:r>
        <w:rPr/>
        <w:t>6. Clasificación por reglas (Fase 1)</w:t>
      </w:r>
    </w:p>
    <w:p>
      <w:pPr>
        <w:pStyle w:val="Heading2"/>
        <w:rPr/>
      </w:pPr>
      <w:bookmarkStart w:id="16" w:name="__RefHeading___Toc1571_2493646068"/>
      <w:bookmarkEnd w:id="16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7" w:name="__RefHeading___Toc1573_2493646068"/>
      <w:bookmarkEnd w:id="17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8" w:name="__RefHeading___Toc1575_2493646068"/>
      <w:bookmarkEnd w:id="18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19" w:name="__RefHeading___Toc1577_2493646068"/>
      <w:bookmarkEnd w:id="19"/>
      <w:r>
        <w:rPr/>
        <w:t>7. El semáforo de alertas</w:t>
      </w:r>
    </w:p>
    <w:p>
      <w:pPr>
        <w:pStyle w:val="Heading2"/>
        <w:rPr/>
      </w:pPr>
      <w:bookmarkStart w:id="20" w:name="__RefHeading___Toc1579_2493646068"/>
      <w:bookmarkEnd w:id="20"/>
      <w:r>
        <w:rPr/>
        <w:t>7.1. Reglas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1" w:name="__RefHeading___Toc1581_2493646068"/>
      <w:bookmarkEnd w:id="21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2" w:name="__RefHeading___Toc1583_2493646068"/>
      <w:bookmarkEnd w:id="22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3" w:name="__RefHeading___Toc1585_2493646068"/>
      <w:bookmarkEnd w:id="23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4" w:name="__RefHeading___Toc1587_2493646068"/>
      <w:bookmarkEnd w:id="24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el botón «Caso de estudio» carga agosto 2023 – julio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5" w:name="__RefHeading___Toc1589_2493646068"/>
      <w:bookmarkEnd w:id="25"/>
      <w:r>
        <w:rPr/>
        <w:t>9. Automatización y puesta en marcha</w:t>
      </w:r>
    </w:p>
    <w:p>
      <w:pPr>
        <w:pStyle w:val="Heading2"/>
        <w:rPr/>
      </w:pPr>
      <w:bookmarkStart w:id="26" w:name="__RefHeading___Toc1591_2493646068"/>
      <w:bookmarkEnd w:id="26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7" w:name="__RefHeading___Toc1593_2493646068"/>
      <w:bookmarkEnd w:id="27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8" w:name="__RefHeading___Toc1595_2493646068"/>
      <w:bookmarkEnd w:id="28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29" w:name="__RefHeading___Toc1597_2493646068"/>
      <w:bookmarkEnd w:id="29"/>
      <w:r>
        <w:rPr/>
        <w:t>10. Pruebas y verificación</w:t>
      </w:r>
    </w:p>
    <w:p>
      <w:pPr>
        <w:pStyle w:val="Heading2"/>
        <w:rPr/>
      </w:pPr>
      <w:bookmarkStart w:id="30" w:name="__RefHeading___Toc1599_2493646068"/>
      <w:bookmarkEnd w:id="30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13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</w:tbl>
    <w:p>
      <w:pPr>
        <w:pStyle w:val="Heading2"/>
        <w:rPr/>
      </w:pPr>
      <w:bookmarkStart w:id="31" w:name="__RefHeading___Toc1601_2493646068"/>
      <w:bookmarkEnd w:id="31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2" w:name="__RefHeading___Toc1603_2493646068"/>
      <w:bookmarkEnd w:id="32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1605_2493646068"/>
      <w:bookmarkEnd w:id="33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1607_2493646068"/>
      <w:bookmarkEnd w:id="34"/>
      <w:r>
        <w:rPr/>
        <w:t>13. Estado actual y próximos pasos</w:t>
      </w:r>
    </w:p>
    <w:p>
      <w:pPr>
        <w:pStyle w:val="Heading2"/>
        <w:rPr/>
      </w:pPr>
      <w:bookmarkStart w:id="35" w:name="__RefHeading___Toc1609_2493646068"/>
      <w:bookmarkEnd w:id="35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6" w:name="__RefHeading___Toc1611_2493646068"/>
      <w:bookmarkEnd w:id="36"/>
      <w:r>
        <w:rPr/>
        <w:t>13.2. Tareas pendientes del autor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 del período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. Sin ellos, el modo histórico no puede mostrar alertas rojas ni evaluar la hipótesis.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Heading2"/>
        <w:rPr/>
      </w:pPr>
      <w:bookmarkStart w:id="37" w:name="__RefHeading___Toc1613_2493646068"/>
      <w:bookmarkEnd w:id="37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8" w:name="__RefHeading___Toc1615_2493646068"/>
      <w:bookmarkEnd w:id="38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</w:tbl>
    <w:p>
      <w:pPr>
        <w:pStyle w:val="Heading1"/>
        <w:rPr/>
      </w:pPr>
      <w:r>
        <w:br w:type="page"/>
      </w:r>
      <w:bookmarkStart w:id="39" w:name="__RefHeading___Toc1617_2493646068"/>
      <w:bookmarkEnd w:id="39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  <w:r>
      <w:rPr>
        <w:color w:val="8F8E86"/>
        <w:sz w:val="16"/>
        <w:szCs w:val="16"/>
      </w:rPr>
      <w:t xml:space="preserve"> · Versión 0.1 (13/10/2026)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  <w:r>
      <w:rPr>
        <w:color w:val="8F8E86"/>
        <w:sz w:val="16"/>
        <w:szCs w:val="16"/>
      </w:rPr>
      <w:t xml:space="preserve"> · Versión 0.1 (13/10/2026)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2026-10-13T23:14:32Z</dcterms:created>
  <dc:creator>TFM Máster CTI - KSchool</dc:creator>
  <dc:description/>
  <dc:language>en-US</dc:language>
  <cp:lastModifiedBy/>
  <dcterms:modified xsi:type="dcterms:W3CDTF">2026-10-13T23:14:34Z</dcterms:modified>
  <cp:revision>2</cp:revision>
  <dc:subject/>
  <dc:title>Memoria de trabajo del TFM - Monitor Ciber-Geopolítico Argentina</dc:title>
</cp:coreProperties>
</file>