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0.9 · 30/10/2026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0.7</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10 incidentes verificados por el autor (Código Almirantazgo), variante de evaluación 'solo verificados' y depuración de noticias duplicadas.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0.8</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los incidentes hacktivistas: 4 verificados (fiabilidad D) y 2 descartados; resultados con la variante 'solo verificados'.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0.9</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 como fuente de reclamos (D34); plataforma centrada en LulzSec con los demás actores como comparación (D36); detonantes curados, ventana de 21 días y evaluación por tramos de calibración y validación (D35).</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5948_3680603316">
            <w:r>
              <w:rPr>
                <w:rStyle w:val="IndexLink"/>
              </w:rPr>
              <w:t>1. Introducción</w:t>
              <w:tab/>
              <w:t>5</w:t>
            </w:r>
          </w:hyperlink>
        </w:p>
        <w:p>
          <w:pPr>
            <w:pStyle w:val="TOC2"/>
            <w:tabs>
              <w:tab w:val="clear" w:pos="9355"/>
              <w:tab w:val="right" w:pos="9637" w:leader="dot"/>
            </w:tabs>
            <w:rPr/>
          </w:pPr>
          <w:hyperlink w:anchor="__RefHeading___Toc5950_3680603316">
            <w:r>
              <w:rPr>
                <w:rStyle w:val="IndexLink"/>
              </w:rPr>
              <w:t>1.1. Contexto</w:t>
              <w:tab/>
              <w:t>5</w:t>
            </w:r>
          </w:hyperlink>
        </w:p>
        <w:p>
          <w:pPr>
            <w:pStyle w:val="TOC2"/>
            <w:tabs>
              <w:tab w:val="clear" w:pos="9355"/>
              <w:tab w:val="right" w:pos="9637" w:leader="dot"/>
            </w:tabs>
            <w:rPr/>
          </w:pPr>
          <w:hyperlink w:anchor="__RefHeading___Toc5952_3680603316">
            <w:r>
              <w:rPr>
                <w:rStyle w:val="IndexLink"/>
              </w:rPr>
              <w:t>1.2. Objetivos</w:t>
              <w:tab/>
              <w:t>5</w:t>
            </w:r>
          </w:hyperlink>
        </w:p>
        <w:p>
          <w:pPr>
            <w:pStyle w:val="TOC2"/>
            <w:tabs>
              <w:tab w:val="clear" w:pos="9355"/>
              <w:tab w:val="right" w:pos="9637" w:leader="dot"/>
            </w:tabs>
            <w:rPr/>
          </w:pPr>
          <w:hyperlink w:anchor="__RefHeading___Toc5954_3680603316">
            <w:r>
              <w:rPr>
                <w:rStyle w:val="IndexLink"/>
              </w:rPr>
              <w:t>1.3. Alcance de esta memoria</w:t>
              <w:tab/>
              <w:t>5</w:t>
            </w:r>
          </w:hyperlink>
        </w:p>
        <w:p>
          <w:pPr>
            <w:pStyle w:val="TOC1"/>
            <w:tabs>
              <w:tab w:val="clear" w:pos="9638"/>
              <w:tab w:val="right" w:pos="9637" w:leader="dot"/>
            </w:tabs>
            <w:rPr/>
          </w:pPr>
          <w:hyperlink w:anchor="__RefHeading___Toc5956_3680603316">
            <w:r>
              <w:rPr>
                <w:rStyle w:val="IndexLink"/>
              </w:rPr>
              <w:t>2. Metodología de trabajo</w:t>
              <w:tab/>
              <w:t>6</w:t>
            </w:r>
          </w:hyperlink>
        </w:p>
        <w:p>
          <w:pPr>
            <w:pStyle w:val="TOC2"/>
            <w:tabs>
              <w:tab w:val="clear" w:pos="9355"/>
              <w:tab w:val="right" w:pos="9637" w:leader="dot"/>
            </w:tabs>
            <w:rPr/>
          </w:pPr>
          <w:hyperlink w:anchor="__RefHeading___Toc5958_3680603316">
            <w:r>
              <w:rPr>
                <w:rStyle w:val="IndexLink"/>
              </w:rPr>
              <w:t>2.1. Enfoque</w:t>
              <w:tab/>
              <w:t>6</w:t>
            </w:r>
          </w:hyperlink>
        </w:p>
        <w:p>
          <w:pPr>
            <w:pStyle w:val="TOC2"/>
            <w:tabs>
              <w:tab w:val="clear" w:pos="9355"/>
              <w:tab w:val="right" w:pos="9637" w:leader="dot"/>
            </w:tabs>
            <w:rPr/>
          </w:pPr>
          <w:hyperlink w:anchor="__RefHeading___Toc5960_3680603316">
            <w:r>
              <w:rPr>
                <w:rStyle w:val="IndexLink"/>
              </w:rPr>
              <w:t>2.2. Desarrollo asistido por inteligencia artificial</w:t>
              <w:tab/>
              <w:t>6</w:t>
            </w:r>
          </w:hyperlink>
        </w:p>
        <w:p>
          <w:pPr>
            <w:pStyle w:val="TOC2"/>
            <w:tabs>
              <w:tab w:val="clear" w:pos="9355"/>
              <w:tab w:val="right" w:pos="9637" w:leader="dot"/>
            </w:tabs>
            <w:rPr/>
          </w:pPr>
          <w:hyperlink w:anchor="__RefHeading___Toc5962_3680603316">
            <w:r>
              <w:rPr>
                <w:rStyle w:val="IndexLink"/>
              </w:rPr>
              <w:t>2.3. Herramientas</w:t>
              <w:tab/>
              <w:t>6</w:t>
            </w:r>
          </w:hyperlink>
        </w:p>
        <w:p>
          <w:pPr>
            <w:pStyle w:val="TOC1"/>
            <w:tabs>
              <w:tab w:val="clear" w:pos="9638"/>
              <w:tab w:val="right" w:pos="9637" w:leader="dot"/>
            </w:tabs>
            <w:rPr/>
          </w:pPr>
          <w:hyperlink w:anchor="__RefHeading___Toc5964_3680603316">
            <w:r>
              <w:rPr>
                <w:rStyle w:val="IndexLink"/>
              </w:rPr>
              <w:t>3. Requisitos de la plataforma</w:t>
              <w:tab/>
              <w:t>7</w:t>
            </w:r>
          </w:hyperlink>
        </w:p>
        <w:p>
          <w:pPr>
            <w:pStyle w:val="TOC1"/>
            <w:tabs>
              <w:tab w:val="clear" w:pos="9638"/>
              <w:tab w:val="right" w:pos="9637" w:leader="dot"/>
            </w:tabs>
            <w:rPr/>
          </w:pPr>
          <w:hyperlink w:anchor="__RefHeading___Toc5966_3680603316">
            <w:r>
              <w:rPr>
                <w:rStyle w:val="IndexLink"/>
              </w:rPr>
              <w:t>4. Arquitectura</w:t>
              <w:tab/>
              <w:t>8</w:t>
            </w:r>
          </w:hyperlink>
        </w:p>
        <w:p>
          <w:pPr>
            <w:pStyle w:val="TOC2"/>
            <w:tabs>
              <w:tab w:val="clear" w:pos="9355"/>
              <w:tab w:val="right" w:pos="9637" w:leader="dot"/>
            </w:tabs>
            <w:rPr/>
          </w:pPr>
          <w:hyperlink w:anchor="__RefHeading___Toc5968_3680603316">
            <w:r>
              <w:rPr>
                <w:rStyle w:val="IndexLink"/>
              </w:rPr>
              <w:t>4.1. Organización del repositorio</w:t>
              <w:tab/>
              <w:t>8</w:t>
            </w:r>
          </w:hyperlink>
        </w:p>
        <w:p>
          <w:pPr>
            <w:pStyle w:val="TOC1"/>
            <w:tabs>
              <w:tab w:val="clear" w:pos="9638"/>
              <w:tab w:val="right" w:pos="9637" w:leader="dot"/>
            </w:tabs>
            <w:rPr/>
          </w:pPr>
          <w:hyperlink w:anchor="__RefHeading___Toc5970_3680603316">
            <w:r>
              <w:rPr>
                <w:rStyle w:val="IndexLink"/>
              </w:rPr>
              <w:t>5. Fuentes de datos</w:t>
              <w:tab/>
              <w:t>9</w:t>
            </w:r>
          </w:hyperlink>
        </w:p>
        <w:p>
          <w:pPr>
            <w:pStyle w:val="TOC2"/>
            <w:tabs>
              <w:tab w:val="clear" w:pos="9355"/>
              <w:tab w:val="right" w:pos="9637" w:leader="dot"/>
            </w:tabs>
            <w:rPr/>
          </w:pPr>
          <w:hyperlink w:anchor="__RefHeading___Toc5972_3680603316">
            <w:r>
              <w:rPr>
                <w:rStyle w:val="IndexLink"/>
              </w:rPr>
              <w:t>5.1. Validación de las fuentes</w:t>
              <w:tab/>
              <w:t>9</w:t>
            </w:r>
          </w:hyperlink>
        </w:p>
        <w:p>
          <w:pPr>
            <w:pStyle w:val="TOC2"/>
            <w:tabs>
              <w:tab w:val="clear" w:pos="9355"/>
              <w:tab w:val="right" w:pos="9637" w:leader="dot"/>
            </w:tabs>
            <w:rPr/>
          </w:pPr>
          <w:hyperlink w:anchor="__RefHeading___Toc5974_3680603316">
            <w:r>
              <w:rPr>
                <w:rStyle w:val="IndexLink"/>
              </w:rPr>
              <w:t>5.2. GDELT: el principal desafío técnico</w:t>
              <w:tab/>
              <w:t>9</w:t>
            </w:r>
          </w:hyperlink>
        </w:p>
        <w:p>
          <w:pPr>
            <w:pStyle w:val="TOC2"/>
            <w:tabs>
              <w:tab w:val="clear" w:pos="9355"/>
              <w:tab w:val="right" w:pos="9637" w:leader="dot"/>
            </w:tabs>
            <w:rPr/>
          </w:pPr>
          <w:hyperlink w:anchor="__RefHeading___Toc5976_3680603316">
            <w:r>
              <w:rPr>
                <w:rStyle w:val="IndexLink"/>
              </w:rPr>
              <w:t>5.3. Canales de Telegram de los grupos</w:t>
              <w:tab/>
              <w:t>9</w:t>
            </w:r>
          </w:hyperlink>
        </w:p>
        <w:p>
          <w:pPr>
            <w:pStyle w:val="TOC2"/>
            <w:tabs>
              <w:tab w:val="clear" w:pos="9355"/>
              <w:tab w:val="right" w:pos="9637" w:leader="dot"/>
            </w:tabs>
            <w:rPr/>
          </w:pPr>
          <w:hyperlink w:anchor="__RefHeading___Toc5978_3680603316">
            <w:r>
              <w:rPr>
                <w:rStyle w:val="IndexLink"/>
              </w:rPr>
              <w:t>5.4. Archivos de carga manual</w:t>
              <w:tab/>
              <w:t>10</w:t>
            </w:r>
          </w:hyperlink>
        </w:p>
        <w:p>
          <w:pPr>
            <w:pStyle w:val="TOC2"/>
            <w:tabs>
              <w:tab w:val="clear" w:pos="9355"/>
              <w:tab w:val="right" w:pos="9637" w:leader="dot"/>
            </w:tabs>
            <w:rPr/>
          </w:pPr>
          <w:hyperlink w:anchor="__RefHeading___Toc5980_3680603316">
            <w:r>
              <w:rPr>
                <w:rStyle w:val="IndexLink"/>
              </w:rPr>
              <w:t>5.5. Búsqueda inicial de incidentes (pendiente de validación)</w:t>
              <w:tab/>
              <w:t>10</w:t>
            </w:r>
          </w:hyperlink>
        </w:p>
        <w:p>
          <w:pPr>
            <w:pStyle w:val="TOC1"/>
            <w:tabs>
              <w:tab w:val="clear" w:pos="9638"/>
              <w:tab w:val="right" w:pos="9637" w:leader="dot"/>
            </w:tabs>
            <w:rPr/>
          </w:pPr>
          <w:hyperlink w:anchor="__RefHeading___Toc5982_3680603316">
            <w:r>
              <w:rPr>
                <w:rStyle w:val="IndexLink"/>
              </w:rPr>
              <w:t>6. Clasificación por reglas (Fase 1)</w:t>
              <w:tab/>
              <w:t>12</w:t>
            </w:r>
          </w:hyperlink>
        </w:p>
        <w:p>
          <w:pPr>
            <w:pStyle w:val="TOC2"/>
            <w:tabs>
              <w:tab w:val="clear" w:pos="9355"/>
              <w:tab w:val="right" w:pos="9637" w:leader="dot"/>
            </w:tabs>
            <w:rPr/>
          </w:pPr>
          <w:hyperlink w:anchor="__RefHeading___Toc5984_3680603316">
            <w:r>
              <w:rPr>
                <w:rStyle w:val="IndexLink"/>
              </w:rPr>
              <w:t>6.1. Noticias geopolíticas</w:t>
              <w:tab/>
              <w:t>12</w:t>
            </w:r>
          </w:hyperlink>
        </w:p>
        <w:p>
          <w:pPr>
            <w:pStyle w:val="TOC2"/>
            <w:tabs>
              <w:tab w:val="clear" w:pos="9355"/>
              <w:tab w:val="right" w:pos="9637" w:leader="dot"/>
            </w:tabs>
            <w:rPr/>
          </w:pPr>
          <w:hyperlink w:anchor="__RefHeading___Toc5986_3680603316">
            <w:r>
              <w:rPr>
                <w:rStyle w:val="IndexLink"/>
              </w:rPr>
              <w:t>6.2. Noticias de ataque</w:t>
              <w:tab/>
              <w:t>12</w:t>
            </w:r>
          </w:hyperlink>
        </w:p>
        <w:p>
          <w:pPr>
            <w:pStyle w:val="TOC2"/>
            <w:tabs>
              <w:tab w:val="clear" w:pos="9355"/>
              <w:tab w:val="right" w:pos="9637" w:leader="dot"/>
            </w:tabs>
            <w:rPr/>
          </w:pPr>
          <w:hyperlink w:anchor="__RefHeading___Toc5988_3680603316">
            <w:r>
              <w:rPr>
                <w:rStyle w:val="IndexLink"/>
              </w:rPr>
              <w:t>6.3. Mapeo a MITRE ATT&amp;CK</w:t>
              <w:tab/>
              <w:t>12</w:t>
            </w:r>
          </w:hyperlink>
        </w:p>
        <w:p>
          <w:pPr>
            <w:pStyle w:val="TOC1"/>
            <w:tabs>
              <w:tab w:val="clear" w:pos="9638"/>
              <w:tab w:val="right" w:pos="9637" w:leader="dot"/>
            </w:tabs>
            <w:rPr/>
          </w:pPr>
          <w:hyperlink w:anchor="__RefHeading___Toc5990_3680603316">
            <w:r>
              <w:rPr>
                <w:rStyle w:val="IndexLink"/>
              </w:rPr>
              <w:t>7. El semáforo de alertas</w:t>
              <w:tab/>
              <w:t>13</w:t>
            </w:r>
          </w:hyperlink>
        </w:p>
        <w:p>
          <w:pPr>
            <w:pStyle w:val="TOC2"/>
            <w:tabs>
              <w:tab w:val="clear" w:pos="9355"/>
              <w:tab w:val="right" w:pos="9637" w:leader="dot"/>
            </w:tabs>
            <w:rPr/>
          </w:pPr>
          <w:hyperlink w:anchor="__RefHeading___Toc5992_3680603316">
            <w:r>
              <w:rPr>
                <w:rStyle w:val="IndexLink"/>
              </w:rPr>
              <w:t>7.1. Reglas</w:t>
              <w:tab/>
              <w:t>13</w:t>
            </w:r>
          </w:hyperlink>
        </w:p>
        <w:p>
          <w:pPr>
            <w:pStyle w:val="TOC2"/>
            <w:tabs>
              <w:tab w:val="clear" w:pos="9355"/>
              <w:tab w:val="right" w:pos="9637" w:leader="dot"/>
            </w:tabs>
            <w:rPr/>
          </w:pPr>
          <w:hyperlink w:anchor="__RefHeading___Toc5994_3680603316">
            <w:r>
              <w:rPr>
                <w:rStyle w:val="IndexLink"/>
              </w:rPr>
              <w:t>7.2. Ejemplo</w:t>
              <w:tab/>
              <w:t>13</w:t>
            </w:r>
          </w:hyperlink>
        </w:p>
        <w:p>
          <w:pPr>
            <w:pStyle w:val="TOC2"/>
            <w:tabs>
              <w:tab w:val="clear" w:pos="9355"/>
              <w:tab w:val="right" w:pos="9637" w:leader="dot"/>
            </w:tabs>
            <w:rPr/>
          </w:pPr>
          <w:hyperlink w:anchor="__RefHeading___Toc5996_3680603316">
            <w:r>
              <w:rPr>
                <w:rStyle w:val="IndexLink"/>
              </w:rPr>
              <w:t>7.3. Parámetros configurables</w:t>
              <w:tab/>
              <w:t>13</w:t>
            </w:r>
          </w:hyperlink>
        </w:p>
        <w:p>
          <w:pPr>
            <w:pStyle w:val="TOC1"/>
            <w:tabs>
              <w:tab w:val="clear" w:pos="9638"/>
              <w:tab w:val="right" w:pos="9637" w:leader="dot"/>
            </w:tabs>
            <w:rPr/>
          </w:pPr>
          <w:hyperlink w:anchor="__RefHeading___Toc5998_3680603316">
            <w:r>
              <w:rPr>
                <w:rStyle w:val="IndexLink"/>
              </w:rPr>
              <w:t>8. La página web</w:t>
              <w:tab/>
              <w:t>15</w:t>
            </w:r>
          </w:hyperlink>
        </w:p>
        <w:p>
          <w:pPr>
            <w:pStyle w:val="TOC2"/>
            <w:tabs>
              <w:tab w:val="clear" w:pos="9355"/>
              <w:tab w:val="right" w:pos="9637" w:leader="dot"/>
            </w:tabs>
            <w:rPr/>
          </w:pPr>
          <w:hyperlink w:anchor="__RefHeading___Toc6000_3680603316">
            <w:r>
              <w:rPr>
                <w:rStyle w:val="IndexLink"/>
              </w:rPr>
              <w:t>8.1. Componentes</w:t>
              <w:tab/>
              <w:t>15</w:t>
            </w:r>
          </w:hyperlink>
        </w:p>
        <w:p>
          <w:pPr>
            <w:pStyle w:val="TOC1"/>
            <w:tabs>
              <w:tab w:val="clear" w:pos="9638"/>
              <w:tab w:val="right" w:pos="9637" w:leader="dot"/>
            </w:tabs>
            <w:rPr/>
          </w:pPr>
          <w:hyperlink w:anchor="__RefHeading___Toc6002_3680603316">
            <w:r>
              <w:rPr>
                <w:rStyle w:val="IndexLink"/>
              </w:rPr>
              <w:t>9. Automatización y puesta en marcha</w:t>
              <w:tab/>
              <w:t>19</w:t>
            </w:r>
          </w:hyperlink>
        </w:p>
        <w:p>
          <w:pPr>
            <w:pStyle w:val="TOC2"/>
            <w:tabs>
              <w:tab w:val="clear" w:pos="9355"/>
              <w:tab w:val="right" w:pos="9637" w:leader="dot"/>
            </w:tabs>
            <w:rPr/>
          </w:pPr>
          <w:hyperlink w:anchor="__RefHeading___Toc6004_3680603316">
            <w:r>
              <w:rPr>
                <w:rStyle w:val="IndexLink"/>
              </w:rPr>
              <w:t>9.1. Workflows de GitHub Actions</w:t>
              <w:tab/>
              <w:t>19</w:t>
            </w:r>
          </w:hyperlink>
        </w:p>
        <w:p>
          <w:pPr>
            <w:pStyle w:val="TOC2"/>
            <w:tabs>
              <w:tab w:val="clear" w:pos="9355"/>
              <w:tab w:val="right" w:pos="9637" w:leader="dot"/>
            </w:tabs>
            <w:rPr/>
          </w:pPr>
          <w:hyperlink w:anchor="__RefHeading___Toc6006_3680603316">
            <w:r>
              <w:rPr>
                <w:rStyle w:val="IndexLink"/>
              </w:rPr>
              <w:t>9.2. Configuración realizada por el autor</w:t>
              <w:tab/>
              <w:t>19</w:t>
            </w:r>
          </w:hyperlink>
        </w:p>
        <w:p>
          <w:pPr>
            <w:pStyle w:val="TOC2"/>
            <w:tabs>
              <w:tab w:val="clear" w:pos="9355"/>
              <w:tab w:val="right" w:pos="9637" w:leader="dot"/>
            </w:tabs>
            <w:rPr/>
          </w:pPr>
          <w:hyperlink w:anchor="__RefHeading___Toc6008_3680603316">
            <w:r>
              <w:rPr>
                <w:rStyle w:val="IndexLink"/>
              </w:rPr>
              <w:t>9.3. Flujo de cambios con Pull Requests</w:t>
              <w:tab/>
              <w:t>20</w:t>
            </w:r>
          </w:hyperlink>
        </w:p>
        <w:p>
          <w:pPr>
            <w:pStyle w:val="TOC1"/>
            <w:tabs>
              <w:tab w:val="clear" w:pos="9638"/>
              <w:tab w:val="right" w:pos="9637" w:leader="dot"/>
            </w:tabs>
            <w:rPr/>
          </w:pPr>
          <w:hyperlink w:anchor="__RefHeading___Toc6010_3680603316">
            <w:r>
              <w:rPr>
                <w:rStyle w:val="IndexLink"/>
              </w:rPr>
              <w:t>10. Pruebas y verificación</w:t>
              <w:tab/>
              <w:t>21</w:t>
            </w:r>
          </w:hyperlink>
        </w:p>
        <w:p>
          <w:pPr>
            <w:pStyle w:val="TOC2"/>
            <w:tabs>
              <w:tab w:val="clear" w:pos="9355"/>
              <w:tab w:val="right" w:pos="9637" w:leader="dot"/>
            </w:tabs>
            <w:rPr/>
          </w:pPr>
          <w:hyperlink w:anchor="__RefHeading___Toc6012_3680603316">
            <w:r>
              <w:rPr>
                <w:rStyle w:val="IndexLink"/>
              </w:rPr>
              <w:t>10.1. Pruebas automáticas</w:t>
              <w:tab/>
              <w:t>21</w:t>
            </w:r>
          </w:hyperlink>
        </w:p>
        <w:p>
          <w:pPr>
            <w:pStyle w:val="TOC2"/>
            <w:tabs>
              <w:tab w:val="clear" w:pos="9355"/>
              <w:tab w:val="right" w:pos="9637" w:leader="dot"/>
            </w:tabs>
            <w:rPr/>
          </w:pPr>
          <w:hyperlink w:anchor="__RefHeading___Toc6014_3680603316">
            <w:r>
              <w:rPr>
                <w:rStyle w:val="IndexLink"/>
              </w:rPr>
              <w:t>10.2. Verificaciones con datos reales</w:t>
              <w:tab/>
              <w:t>21</w:t>
            </w:r>
          </w:hyperlink>
        </w:p>
        <w:p>
          <w:pPr>
            <w:pStyle w:val="TOC1"/>
            <w:tabs>
              <w:tab w:val="clear" w:pos="9638"/>
              <w:tab w:val="right" w:pos="9637" w:leader="dot"/>
            </w:tabs>
            <w:rPr/>
          </w:pPr>
          <w:hyperlink w:anchor="__RefHeading___Toc6016_3680603316">
            <w:r>
              <w:rPr>
                <w:rStyle w:val="IndexLink"/>
              </w:rPr>
              <w:t>11. Problemas encontrados y soluciones</w:t>
              <w:tab/>
              <w:t>22</w:t>
            </w:r>
          </w:hyperlink>
        </w:p>
        <w:p>
          <w:pPr>
            <w:pStyle w:val="TOC1"/>
            <w:tabs>
              <w:tab w:val="clear" w:pos="9638"/>
              <w:tab w:val="right" w:pos="9637" w:leader="dot"/>
            </w:tabs>
            <w:rPr/>
          </w:pPr>
          <w:hyperlink w:anchor="__RefHeading___Toc6018_3680603316">
            <w:r>
              <w:rPr>
                <w:rStyle w:val="IndexLink"/>
              </w:rPr>
              <w:t>12. Decisiones técnicas</w:t>
              <w:tab/>
              <w:t>23</w:t>
            </w:r>
          </w:hyperlink>
        </w:p>
        <w:p>
          <w:pPr>
            <w:pStyle w:val="TOC1"/>
            <w:tabs>
              <w:tab w:val="clear" w:pos="9638"/>
              <w:tab w:val="right" w:pos="9637" w:leader="dot"/>
            </w:tabs>
            <w:rPr/>
          </w:pPr>
          <w:hyperlink w:anchor="__RefHeading___Toc6020_3680603316">
            <w:r>
              <w:rPr>
                <w:rStyle w:val="IndexLink"/>
              </w:rPr>
              <w:t>13. Estado actual y próximos pasos</w:t>
              <w:tab/>
              <w:t>24</w:t>
            </w:r>
          </w:hyperlink>
        </w:p>
        <w:p>
          <w:pPr>
            <w:pStyle w:val="TOC2"/>
            <w:tabs>
              <w:tab w:val="clear" w:pos="9355"/>
              <w:tab w:val="right" w:pos="9637" w:leader="dot"/>
            </w:tabs>
            <w:rPr/>
          </w:pPr>
          <w:hyperlink w:anchor="__RefHeading___Toc6022_3680603316">
            <w:r>
              <w:rPr>
                <w:rStyle w:val="IndexLink"/>
              </w:rPr>
              <w:t>13.1. Estado</w:t>
              <w:tab/>
              <w:t>24</w:t>
            </w:r>
          </w:hyperlink>
        </w:p>
        <w:p>
          <w:pPr>
            <w:pStyle w:val="TOC2"/>
            <w:tabs>
              <w:tab w:val="clear" w:pos="9355"/>
              <w:tab w:val="right" w:pos="9637" w:leader="dot"/>
            </w:tabs>
            <w:rPr/>
          </w:pPr>
          <w:hyperlink w:anchor="__RefHeading___Toc6024_3680603316">
            <w:r>
              <w:rPr>
                <w:rStyle w:val="IndexLink"/>
              </w:rPr>
              <w:t>13.2. Tareas pendientes del autor</w:t>
              <w:tab/>
              <w:t>24</w:t>
            </w:r>
          </w:hyperlink>
        </w:p>
        <w:p>
          <w:pPr>
            <w:pStyle w:val="TOC2"/>
            <w:tabs>
              <w:tab w:val="clear" w:pos="9355"/>
              <w:tab w:val="right" w:pos="9637" w:leader="dot"/>
            </w:tabs>
            <w:rPr/>
          </w:pPr>
          <w:hyperlink w:anchor="__RefHeading___Toc6026_3680603316">
            <w:r>
              <w:rPr>
                <w:rStyle w:val="IndexLink"/>
              </w:rPr>
              <w:t>13.3. Próximos pasos propuestos</w:t>
              <w:tab/>
              <w:t>24</w:t>
            </w:r>
          </w:hyperlink>
        </w:p>
        <w:p>
          <w:pPr>
            <w:pStyle w:val="TOC1"/>
            <w:tabs>
              <w:tab w:val="clear" w:pos="9638"/>
              <w:tab w:val="right" w:pos="9637" w:leader="dot"/>
            </w:tabs>
            <w:rPr/>
          </w:pPr>
          <w:hyperlink w:anchor="__RefHeading___Toc6028_3680603316">
            <w:r>
              <w:rPr>
                <w:rStyle w:val="IndexLink"/>
              </w:rPr>
              <w:t>14. Búsqueda de incidentes y diseño de la evaluación</w:t>
              <w:tab/>
              <w:t>25</w:t>
            </w:r>
          </w:hyperlink>
        </w:p>
        <w:p>
          <w:pPr>
            <w:pStyle w:val="TOC2"/>
            <w:tabs>
              <w:tab w:val="clear" w:pos="9355"/>
              <w:tab w:val="right" w:pos="9637" w:leader="dot"/>
            </w:tabs>
            <w:rPr/>
          </w:pPr>
          <w:hyperlink w:anchor="__RefHeading___Toc6030_3680603316">
            <w:r>
              <w:rPr>
                <w:rStyle w:val="IndexLink"/>
              </w:rPr>
              <w:t>14.1. Por qué hace falta cargar incidentes</w:t>
              <w:tab/>
              <w:t>25</w:t>
            </w:r>
          </w:hyperlink>
        </w:p>
        <w:p>
          <w:pPr>
            <w:pStyle w:val="TOC2"/>
            <w:tabs>
              <w:tab w:val="clear" w:pos="9355"/>
              <w:tab w:val="right" w:pos="9637" w:leader="dot"/>
            </w:tabs>
            <w:rPr/>
          </w:pPr>
          <w:hyperlink w:anchor="__RefHeading___Toc6032_3680603316">
            <w:r>
              <w:rPr>
                <w:rStyle w:val="IndexLink"/>
              </w:rPr>
              <w:t>14.2. Grupo de comparación</w:t>
              <w:tab/>
              <w:t>25</w:t>
            </w:r>
          </w:hyperlink>
        </w:p>
        <w:p>
          <w:pPr>
            <w:pStyle w:val="TOC2"/>
            <w:tabs>
              <w:tab w:val="clear" w:pos="9355"/>
              <w:tab w:val="right" w:pos="9637" w:leader="dot"/>
            </w:tabs>
            <w:rPr/>
          </w:pPr>
          <w:hyperlink w:anchor="__RefHeading___Toc6034_3680603316">
            <w:r>
              <w:rPr>
                <w:rStyle w:val="IndexLink"/>
              </w:rPr>
              <w:t>14.3. Incidentes cargados</w:t>
              <w:tab/>
              <w:t>25</w:t>
            </w:r>
          </w:hyperlink>
        </w:p>
        <w:p>
          <w:pPr>
            <w:pStyle w:val="TOC2"/>
            <w:tabs>
              <w:tab w:val="clear" w:pos="9355"/>
              <w:tab w:val="right" w:pos="9637" w:leader="dot"/>
            </w:tabs>
            <w:rPr/>
          </w:pPr>
          <w:hyperlink w:anchor="__RefHeading___Toc6036_3680603316">
            <w:r>
              <w:rPr>
                <w:rStyle w:val="IndexLink"/>
              </w:rPr>
              <w:t>14.4. Primeras observaciones</w:t>
              <w:tab/>
              <w:t>26</w:t>
            </w:r>
          </w:hyperlink>
        </w:p>
        <w:p>
          <w:pPr>
            <w:pStyle w:val="TOC2"/>
            <w:tabs>
              <w:tab w:val="clear" w:pos="9355"/>
              <w:tab w:val="right" w:pos="9637" w:leader="dot"/>
            </w:tabs>
            <w:rPr/>
          </w:pPr>
          <w:hyperlink w:anchor="__RefHeading___Toc6038_3680603316">
            <w:r>
              <w:rPr>
                <w:rStyle w:val="IndexLink"/>
              </w:rPr>
              <w:t>14.5. Segunda lista de candidatos (agosto 2024 – hoy)</w:t>
              <w:tab/>
              <w:t>26</w:t>
            </w:r>
          </w:hyperlink>
        </w:p>
        <w:p>
          <w:pPr>
            <w:pStyle w:val="TOC2"/>
            <w:tabs>
              <w:tab w:val="clear" w:pos="9355"/>
              <w:tab w:val="right" w:pos="9637" w:leader="dot"/>
            </w:tabs>
            <w:rPr/>
          </w:pPr>
          <w:hyperlink w:anchor="__RefHeading___Toc6040_3680603316">
            <w:r>
              <w:rPr>
                <w:rStyle w:val="IndexLink"/>
              </w:rPr>
              <w:t>14.6. Metodología de verificación</w:t>
              <w:tab/>
              <w:t>37</w:t>
            </w:r>
          </w:hyperlink>
        </w:p>
        <w:p>
          <w:pPr>
            <w:pStyle w:val="TOC1"/>
            <w:tabs>
              <w:tab w:val="clear" w:pos="9638"/>
              <w:tab w:val="right" w:pos="9637" w:leader="dot"/>
            </w:tabs>
            <w:rPr/>
          </w:pPr>
          <w:hyperlink w:anchor="__RefHeading___Toc6042_3680603316">
            <w:r>
              <w:rPr>
                <w:rStyle w:val="IndexLink"/>
              </w:rPr>
              <w:t>15. Evaluación del modelo</w:t>
              <w:tab/>
              <w:t>39</w:t>
            </w:r>
          </w:hyperlink>
        </w:p>
        <w:p>
          <w:pPr>
            <w:pStyle w:val="TOC2"/>
            <w:tabs>
              <w:tab w:val="clear" w:pos="9355"/>
              <w:tab w:val="right" w:pos="9637" w:leader="dot"/>
            </w:tabs>
            <w:rPr/>
          </w:pPr>
          <w:hyperlink w:anchor="__RefHeading___Toc6044_3680603316">
            <w:r>
              <w:rPr>
                <w:rStyle w:val="IndexLink"/>
              </w:rPr>
              <w:t>15.1. Método</w:t>
              <w:tab/>
              <w:t>39</w:t>
            </w:r>
          </w:hyperlink>
        </w:p>
        <w:p>
          <w:pPr>
            <w:pStyle w:val="TOC2"/>
            <w:tabs>
              <w:tab w:val="clear" w:pos="9355"/>
              <w:tab w:val="right" w:pos="9637" w:leader="dot"/>
            </w:tabs>
            <w:rPr/>
          </w:pPr>
          <w:hyperlink w:anchor="__RefHeading___Toc6046_3680603316">
            <w:r>
              <w:rPr>
                <w:rStyle w:val="IndexLink"/>
              </w:rPr>
              <w:t>15.2. Resultados preliminares</w:t>
              <w:tab/>
              <w:t>39</w:t>
            </w:r>
          </w:hyperlink>
        </w:p>
        <w:p>
          <w:pPr>
            <w:pStyle w:val="TOC2"/>
            <w:tabs>
              <w:tab w:val="clear" w:pos="9355"/>
              <w:tab w:val="right" w:pos="9637" w:leader="dot"/>
            </w:tabs>
            <w:rPr/>
          </w:pPr>
          <w:hyperlink w:anchor="__RefHeading___Toc6048_3680603316">
            <w:r>
              <w:rPr>
                <w:rStyle w:val="IndexLink"/>
              </w:rPr>
              <w:t>15.3. Lectura de los resultados</w:t>
              <w:tab/>
              <w:t>41</w:t>
            </w:r>
          </w:hyperlink>
        </w:p>
        <w:p>
          <w:pPr>
            <w:pStyle w:val="TOC2"/>
            <w:tabs>
              <w:tab w:val="clear" w:pos="9355"/>
              <w:tab w:val="right" w:pos="9637" w:leader="dot"/>
            </w:tabs>
            <w:rPr/>
          </w:pPr>
          <w:hyperlink w:anchor="__RefHeading___Toc6050_3680603316">
            <w:r>
              <w:rPr>
                <w:rStyle w:val="IndexLink"/>
              </w:rPr>
              <w:t>15.5. Detonantes curados: antes y después</w:t>
              <w:tab/>
              <w:t>42</w:t>
            </w:r>
          </w:hyperlink>
        </w:p>
        <w:p>
          <w:pPr>
            <w:pStyle w:val="TOC2"/>
            <w:tabs>
              <w:tab w:val="clear" w:pos="9355"/>
              <w:tab w:val="right" w:pos="9637" w:leader="dot"/>
            </w:tabs>
            <w:rPr/>
          </w:pPr>
          <w:hyperlink w:anchor="__RefHeading___Toc6052_3680603316">
            <w:r>
              <w:rPr>
                <w:rStyle w:val="IndexLink"/>
              </w:rPr>
              <w:t>15.4. Extensión del período hasta la actualidad</w:t>
              <w:tab/>
              <w:t>43</w:t>
            </w:r>
          </w:hyperlink>
        </w:p>
        <w:p>
          <w:pPr>
            <w:pStyle w:val="TOC1"/>
            <w:tabs>
              <w:tab w:val="clear" w:pos="9638"/>
              <w:tab w:val="right" w:pos="9637" w:leader="dot"/>
            </w:tabs>
            <w:rPr/>
          </w:pPr>
          <w:hyperlink w:anchor="__RefHeading___Toc6054_3680603316">
            <w:r>
              <w:rPr>
                <w:rStyle w:val="IndexLink"/>
              </w:rPr>
              <w:t>Anexo A. Bitácora del proyecto</w:t>
              <w:tab/>
              <w:t>45</w:t>
            </w:r>
          </w:hyperlink>
        </w:p>
        <w:p>
          <w:pPr>
            <w:pStyle w:val="TOC1"/>
            <w:tabs>
              <w:tab w:val="clear" w:pos="9638"/>
              <w:tab w:val="right" w:pos="9637" w:leader="dot"/>
            </w:tabs>
            <w:rPr/>
          </w:pPr>
          <w:hyperlink w:anchor="__RefHeading___Toc6056_3680603316">
            <w:r>
              <w:rPr>
                <w:rStyle w:val="IndexLink"/>
              </w:rPr>
              <w:t>Anexo B. Glosario</w:t>
              <w:tab/>
              <w:t>50</w:t>
            </w:r>
          </w:hyperlink>
          <w:r>
            <w:rPr>
              <w:rStyle w:val="IndexLink"/>
            </w:rPr>
            <w:fldChar w:fldCharType="end"/>
          </w:r>
        </w:p>
      </w:sdtContent>
    </w:sdt>
    <w:p>
      <w:pPr>
        <w:pStyle w:val="Normal"/>
        <w:rPr/>
      </w:pPr>
      <w:r>
        <w:rPr/>
      </w:r>
      <w:r>
        <w:br w:type="page"/>
      </w:r>
    </w:p>
    <w:p>
      <w:pPr>
        <w:pStyle w:val="Heading1"/>
        <w:rPr/>
      </w:pPr>
      <w:bookmarkStart w:id="0" w:name="__RefHeading___Toc5948_3680603316"/>
      <w:bookmarkEnd w:id="0"/>
      <w:r>
        <w:rPr/>
        <w:t>1. Introducción</w:t>
      </w:r>
    </w:p>
    <w:p>
      <w:pPr>
        <w:pStyle w:val="Heading2"/>
        <w:rPr/>
      </w:pPr>
      <w:bookmarkStart w:id="1" w:name="__RefHeading___Toc5950_3680603316"/>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5952_3680603316"/>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5954_3680603316"/>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5956_3680603316"/>
      <w:bookmarkEnd w:id="4"/>
      <w:r>
        <w:rPr/>
        <w:t>2. Metodología de trabajo</w:t>
      </w:r>
    </w:p>
    <w:p>
      <w:pPr>
        <w:pStyle w:val="Heading2"/>
        <w:rPr/>
      </w:pPr>
      <w:bookmarkStart w:id="5" w:name="__RefHeading___Toc5958_3680603316"/>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5960_3680603316"/>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5962_3680603316"/>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5964_3680603316"/>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 (Desde el 30/10/2026: ventana de 21 días, detonantes curados y foco en LulzSec; ver capítulo 7.)</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5966_3680603316"/>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5968_3680603316"/>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5970_3680603316"/>
      <w:bookmarkEnd w:id="11"/>
      <w:r>
        <w:rPr/>
        <w:t>5. Fuentes de datos</w:t>
      </w:r>
    </w:p>
    <w:p>
      <w:pPr>
        <w:pStyle w:val="Heading2"/>
        <w:rPr/>
      </w:pPr>
      <w:bookmarkStart w:id="12" w:name="__RefHeading___Toc5972_3680603316"/>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 LulzSec Muslims y LulzSec Black</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los grupos (reclamos)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Agregados el 30/10/2026 (decisión D34); se leen desde la vista web pública, sin cuenta.</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5974_3680603316"/>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5976_3680603316"/>
      <w:bookmarkEnd w:id="14"/>
      <w:r>
        <w:rPr/>
        <w:t>5.3. Canales de Telegram de los grupos</w:t>
      </w:r>
    </w:p>
    <w:p>
      <w:pPr>
        <w:pStyle w:val="Normal"/>
        <w:spacing w:lineRule="exact" w:line="290" w:before="0" w:after="120"/>
        <w:rPr/>
      </w:pPr>
      <w:r>
        <w:rPr/>
        <w:t xml:space="preserve">Como el hacktivismo se anuncia sobre todo en Telegram, el autor identificó tres espacios: los canales públicos de </w:t>
      </w:r>
      <w:r>
        <w:rPr>
          <w:b/>
          <w:bCs/>
        </w:rPr>
        <w:t>LulzSec Muslims</w:t>
      </w:r>
      <w:r>
        <w:rPr/>
        <w:t xml:space="preserve"> y </w:t>
      </w:r>
      <w:r>
        <w:rPr>
          <w:b/>
          <w:bCs/>
        </w:rPr>
        <w:t>LulzSec Black</w:t>
      </w:r>
      <w:r>
        <w:rPr/>
        <w:t xml:space="preserve">, y un grupo privado. Se eligió monitorear solo los </w:t>
      </w:r>
      <w:r>
        <w:rPr>
          <w:b/>
          <w:bCs/>
        </w:rPr>
        <w:t>canales públicos</w:t>
      </w:r>
      <w:r>
        <w:rPr/>
        <w:t>, leyendo su vista web (t.me/s/&lt;canal&gt;), la misma que ve cualquier persona sin iniciar sesión. El grupo privado quedó fuera porque exigiría entrar con una cuenta y publicar en un repositorio público contenido de un espacio cerrado (decisión D34).</w:t>
      </w:r>
    </w:p>
    <w:p>
      <w:pPr>
        <w:pStyle w:val="ListParagraph"/>
        <w:numPr>
          <w:ilvl w:val="0"/>
          <w:numId w:val="3"/>
        </w:numPr>
        <w:spacing w:before="0" w:after="60"/>
        <w:rPr/>
      </w:pPr>
      <w:r>
        <w:rPr/>
        <w:t xml:space="preserve">Un mensaje cuenta como </w:t>
      </w:r>
      <w:r>
        <w:rPr>
          <w:b/>
          <w:bCs/>
        </w:rPr>
        <w:t>ataque reclamado</w:t>
      </w:r>
      <w:r>
        <w:rPr/>
        <w:t xml:space="preserve"> si menciona a Argentina, un dominio .ar o la bandera argentina, y además tiene una señal de ataque (por ejemplo "down", un enlace a check-host o un término cibernético).</w:t>
      </w:r>
    </w:p>
    <w:p>
      <w:pPr>
        <w:pStyle w:val="ListParagraph"/>
        <w:numPr>
          <w:ilvl w:val="0"/>
          <w:numId w:val="3"/>
        </w:numPr>
        <w:spacing w:before="0" w:after="60"/>
        <w:rPr/>
      </w:pPr>
      <w:r>
        <w:rPr/>
        <w:t xml:space="preserve">Es la palabra del propio grupo: se muestra como </w:t>
      </w:r>
      <w:r>
        <w:rPr>
          <w:b/>
          <w:bCs/>
        </w:rPr>
        <w:t>reclamo sin verificar</w:t>
      </w:r>
      <w:r>
        <w:rPr/>
        <w:t xml:space="preserve"> y forma un grupo aparte en la evaluación. Para usarlo como incidente debe pasar por la verificación del autor.</w:t>
      </w:r>
    </w:p>
    <w:p>
      <w:pPr>
        <w:pStyle w:val="ListParagraph"/>
        <w:numPr>
          <w:ilvl w:val="0"/>
          <w:numId w:val="3"/>
        </w:numPr>
        <w:spacing w:before="0" w:after="60"/>
        <w:rPr/>
      </w:pPr>
      <w:r>
        <w:rPr/>
        <w:t>Solo se guarda el texto recortado y el enlace al mensaje; nunca archivos ni enlaces de descarga.</w:t>
      </w:r>
    </w:p>
    <w:p>
      <w:pPr>
        <w:pStyle w:val="Heading2"/>
        <w:rPr/>
      </w:pPr>
      <w:bookmarkStart w:id="15" w:name="__RefHeading___Toc5978_3680603316"/>
      <w:bookmarkEnd w:id="15"/>
      <w:r>
        <w:rPr/>
        <w:t>5.4.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6" w:name="__RefHeading___Toc5980_3680603316"/>
      <w:bookmarkEnd w:id="16"/>
      <w:r>
        <w:rPr/>
        <w:t>5.5.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7" w:name="__RefHeading___Toc5982_3680603316"/>
      <w:bookmarkEnd w:id="17"/>
      <w:r>
        <w:rPr/>
        <w:t>6. Clasificación por reglas (Fase 1)</w:t>
      </w:r>
    </w:p>
    <w:p>
      <w:pPr>
        <w:pStyle w:val="Heading2"/>
        <w:rPr/>
      </w:pPr>
      <w:bookmarkStart w:id="18" w:name="__RefHeading___Toc5984_3680603316"/>
      <w:bookmarkEnd w:id="18"/>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9" w:name="__RefHeading___Toc5986_3680603316"/>
      <w:bookmarkEnd w:id="19"/>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ListParagraph"/>
        <w:numPr>
          <w:ilvl w:val="0"/>
          <w:numId w:val="3"/>
        </w:numPr>
        <w:spacing w:before="0" w:after="60"/>
        <w:rPr/>
      </w:pPr>
      <w:r>
        <w:rPr/>
        <w:t xml:space="preserve">Para los </w:t>
      </w:r>
      <w:r>
        <w:rPr>
          <w:b/>
          <w:bCs/>
        </w:rPr>
        <w:t>mensajes de los canales de Telegram de los grupos</w:t>
      </w:r>
      <w:r>
        <w:rPr/>
        <w:t xml:space="preserve"> rige una regla propia: alcanza con que mencionen a Argentina, un dominio .ar o la bandera y tengan una señal de reclamo (como «down», «leak» o un enlace a check-host), porque el canal ya es el contexto cibernético (sección 5.3).</w:t>
      </w:r>
    </w:p>
    <w:p>
      <w:pPr>
        <w:pStyle w:val="Heading2"/>
        <w:rPr/>
      </w:pPr>
      <w:bookmarkStart w:id="20" w:name="__RefHeading___Toc5988_3680603316"/>
      <w:bookmarkEnd w:id="20"/>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1" w:name="__RefHeading___Toc5990_3680603316"/>
      <w:bookmarkEnd w:id="21"/>
      <w:r>
        <w:rPr/>
        <w:t>7. El semáforo de alertas</w:t>
      </w:r>
    </w:p>
    <w:p>
      <w:pPr>
        <w:pStyle w:val="Heading2"/>
        <w:rPr/>
      </w:pPr>
      <w:bookmarkStart w:id="22" w:name="__RefHeading___Toc5992_3680603316"/>
      <w:bookmarkEnd w:id="22"/>
      <w:r>
        <w:rPr/>
        <w:t>7.1. Reglas</w:t>
      </w:r>
    </w:p>
    <w:p>
      <w:pPr>
        <w:pStyle w:val="ListParagraph"/>
        <w:numPr>
          <w:ilvl w:val="0"/>
          <w:numId w:val="12"/>
        </w:numPr>
        <w:spacing w:before="0" w:after="60"/>
        <w:rPr/>
      </w:pPr>
      <w:r>
        <w:rPr>
          <w:b/>
          <w:bCs/>
        </w:rPr>
        <w:t>Día detonante (modo «curado»):</w:t>
      </w:r>
      <w:r>
        <w:rPr/>
        <w:t xml:space="preserve"> solo abren ventana los </w:t>
      </w:r>
      <w:r>
        <w:rPr>
          <w:b/>
          <w:bCs/>
        </w:rPr>
        <w:t>hechos clave</w:t>
      </w:r>
      <w:r>
        <w:rPr/>
        <w:t xml:space="preserve"> de </w:t>
      </w:r>
      <w:r>
        <w:rPr>
          <w:rFonts w:eastAsia="Consolas" w:cs="Consolas" w:ascii="Consolas" w:hAnsi="Consolas"/>
          <w:sz w:val="19"/>
          <w:szCs w:val="19"/>
        </w:rPr>
        <w:t>datos/hechos_clave.csv</w:t>
      </w:r>
      <w:r>
        <w:rPr/>
        <w:t xml:space="preserve">, revisados por el analista. Las noticias geopolíticas que antes abrían ventana por sí solas (al menos 2 fuentes distintas el mismo día) ahora se proponen como </w:t>
      </w:r>
      <w:r>
        <w:rPr>
          <w:b/>
          <w:bCs/>
        </w:rPr>
        <w:t>candidatos</w:t>
      </w:r>
      <w:r>
        <w:rPr/>
        <w:t xml:space="preserve">: una fila por día en </w:t>
      </w:r>
      <w:r>
        <w:rPr>
          <w:rFonts w:eastAsia="Consolas" w:cs="Consolas" w:ascii="Consolas" w:hAnsi="Consolas"/>
          <w:sz w:val="19"/>
          <w:szCs w:val="19"/>
        </w:rPr>
        <w:t>datos/candidatos_hechos_clave.csv</w:t>
      </w:r>
      <w:r>
        <w:rPr/>
        <w:t>, con la noticia de mayor puntaje y la cantidad de noticias y fuentes. El autor las revisa y, si corresponde, las pasa a mano a los hechos clave (decisión D35).</w:t>
      </w:r>
    </w:p>
    <w:p>
      <w:pPr>
        <w:pStyle w:val="ListParagraph"/>
        <w:numPr>
          <w:ilvl w:val="0"/>
          <w:numId w:val="4"/>
        </w:numPr>
        <w:spacing w:before="0" w:after="60"/>
        <w:rPr/>
      </w:pPr>
      <w:r>
        <w:rPr>
          <w:b/>
          <w:bCs/>
        </w:rPr>
        <w:t>Ventana de vigilancia:</w:t>
      </w:r>
      <w:r>
        <w:rPr/>
        <w:t xml:space="preserve"> cada día detonante abre una ventana de </w:t>
      </w:r>
      <w:r>
        <w:rPr>
          <w:b/>
          <w:bCs/>
        </w:rPr>
        <w:t>21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ListParagraph"/>
        <w:numPr>
          <w:ilvl w:val="0"/>
          <w:numId w:val="4"/>
        </w:numPr>
        <w:spacing w:before="0" w:after="60"/>
        <w:rPr/>
      </w:pPr>
      <w:r>
        <w:rPr>
          <w:b/>
          <w:bCs/>
        </w:rPr>
        <w:t>Alcance:</w:t>
      </w:r>
      <w:r>
        <w:rPr/>
        <w:t xml:space="preserve"> desde el 30/10/2026 la plataforma se centra en </w:t>
      </w:r>
      <w:r>
        <w:rPr>
          <w:b/>
          <w:bCs/>
        </w:rPr>
        <w:t>LulzSec</w:t>
      </w:r>
      <w:r>
        <w:rPr/>
        <w:t xml:space="preserve">. En la línea de tiempo, el semáforo y las alertas solo cuentan los ataques de este actor (incidentes que lo nombran, reclamos de sus canales de Telegram y noticias que lo mencionan). Los ataques de otros actores no se muestran, pero se conservan como </w:t>
      </w:r>
      <w:r>
        <w:rPr>
          <w:b/>
          <w:bCs/>
        </w:rPr>
        <w:t>grupo de comparación</w:t>
      </w:r>
      <w:r>
        <w:rPr/>
        <w:t xml:space="preserve"> de la evaluación (decisión D36).</w:t>
      </w:r>
    </w:p>
    <w:p>
      <w:pPr>
        <w:pStyle w:val="Normal"/>
        <w:spacing w:lineRule="exact" w:line="290" w:before="0" w:after="120"/>
        <w:rPr/>
      </w:pPr>
      <w:r>
        <w:rPr>
          <w:b/>
          <w:bCs/>
        </w:rPr>
        <w:t>Por qué se pasó a detonantes curados.</w:t>
      </w:r>
      <w:r>
        <w:rPr/>
        <w:t xml:space="preserve"> Con la regla automática, al avanzar la descarga de GDELT, casi cualquier noticia que mencionara a Argentina junto con AMIA o Irán abría una ventana: las ventanas se encadenaban y llegaron a cubrir más de la mitad de los días, con lo que una alerta dejaba de informar algo (la razón de los hacktivistas quedó cerca de 1, es decir, del azar). Con los hechos clave curados, la cobertura baja a menos de un cuarto de los días (sección 15.5).</w:t>
      </w:r>
    </w:p>
    <w:p>
      <w:pPr>
        <w:pStyle w:val="Normal"/>
        <w:spacing w:lineRule="exact" w:line="290" w:before="0" w:after="120"/>
        <w:rPr/>
      </w:pPr>
      <w:r>
        <w:rPr>
          <w:b/>
          <w:bCs/>
        </w:rPr>
        <w:t>Consecuencia para el monitoreo en vivo:</w:t>
      </w:r>
      <w:r>
        <w:rPr/>
        <w:t xml:space="preserve"> el semáforo ya no se enciende solo con las noticias; se pone en amarillo cuando el analista carga un hecho clave. La lista de candidatos funciona como bandeja de entrada de la alerta temprana.</w:t>
      </w:r>
    </w:p>
    <w:p>
      <w:pPr>
        <w:pStyle w:val="Heading2"/>
        <w:rPr/>
      </w:pPr>
      <w:bookmarkStart w:id="23" w:name="__RefHeading___Toc5994_3680603316"/>
      <w:bookmarkEnd w:id="23"/>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de Milei a Israel y anuncio sobre la embajada (hecho clave)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de 21 días, hasta el 27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7–21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de LulzSec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 reivindica un ataque a las Fuerzas Armadas (INC-002, verificado D3)</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23–27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4" w:name="__RefHeading___Toc5996_3680603316"/>
      <w:bookmarkEnd w:id="24"/>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modo_detonantes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curado</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«curado»: solo hechos clave abren ventana; «automatico»: también las noticias de varias fuentes</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 (antes 7; 21 desde el 30/10/2026)</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para proponer un día como candidato (o detonante en modo automático)</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5" w:name="__RefHeading___Toc5998_3680603316"/>
      <w:bookmarkEnd w:id="25"/>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6" w:name="__RefHeading___Toc6000_3680603316"/>
      <w:bookmarkEnd w:id="26"/>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3" name="web_historico.png" descr="Figura 3&#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historico.png" descr="Figura 3&#10;Modo histórico del caso de estudio con los 8 hechos clave. Todavía sin ataques cargados: 6 alertas amarillas y ninguna roja."/>
                    <pic:cNvPicPr>
                      <a:picLocks noChangeAspect="1" noChangeArrowheads="1"/>
                    </pic:cNvPicPr>
                  </pic:nvPicPr>
                  <pic:blipFill>
                    <a:blip r:embed="rId4"/>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4" name="web_alertas_info.png" descr="Figura 4&#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alertas_info.png" descr="Figura 4&#10;Alerta informativa real detectada automáticamente: el ciberataque a la Asociación del Fútbol Argentino (fuente: WeLiveSecurity)."/>
                    <pic:cNvPicPr>
                      <a:picLocks noChangeAspect="1" noChangeArrowheads="1"/>
                    </pic:cNvPicPr>
                  </pic:nvPicPr>
                  <pic:blipFill>
                    <a:blip r:embed="rId5"/>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5" name="web_fuentes.png" descr="Figura 5&#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fuentes.png" descr="Figura 5&#10;Diagnóstico de fuentes de la última revisión y explicación de la metodología, visibles en la propia página."/>
                    <pic:cNvPicPr>
                      <a:picLocks noChangeAspect="1" noChangeArrowheads="1"/>
                    </pic:cNvPicPr>
                  </pic:nvPicPr>
                  <pic:blipFill>
                    <a:blip r:embed="rId6"/>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6" name="web_movil.png" descr="Figura 6&#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movil.png" descr="Figura 6&#10;Vista en celular."/>
                    <pic:cNvPicPr>
                      <a:picLocks noChangeAspect="1" noChangeArrowheads="1"/>
                    </pic:cNvPicPr>
                  </pic:nvPicPr>
                  <pic:blipFill>
                    <a:blip r:embed="rId7"/>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Vista en celular.</w:t>
      </w:r>
      <w:r>
        <w:br w:type="page"/>
      </w:r>
    </w:p>
    <w:p>
      <w:pPr>
        <w:pStyle w:val="Heading1"/>
        <w:rPr/>
      </w:pPr>
      <w:bookmarkStart w:id="27" w:name="__RefHeading___Toc6002_3680603316"/>
      <w:bookmarkEnd w:id="27"/>
      <w:r>
        <w:rPr/>
        <w:t>9. Automatización y puesta en marcha</w:t>
      </w:r>
    </w:p>
    <w:p>
      <w:pPr>
        <w:pStyle w:val="Heading2"/>
        <w:rPr/>
      </w:pPr>
      <w:bookmarkStart w:id="28" w:name="__RefHeading___Toc6004_3680603316"/>
      <w:bookmarkEnd w:id="28"/>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9" w:name="__RefHeading___Toc6006_3680603316"/>
      <w:bookmarkEnd w:id="29"/>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7" name="github_pages_origen.png" descr="Figura 7&#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hub_pages_origen.png" descr="Figura 7&#10;Configuración de GitHub Pages antes del cambio (origen «Deploy from a branch»)."/>
                    <pic:cNvPicPr>
                      <a:picLocks noChangeAspect="1" noChangeArrowheads="1"/>
                    </pic:cNvPicPr>
                  </pic:nvPicPr>
                  <pic:blipFill>
                    <a:blip r:embed="rId8"/>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8" name="github_pages_menu.png" descr="Figura 8&#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menu.png" descr="Figura 8&#10;Selección del origen «GitHub Actions» para GitHub Pages."/>
                    <pic:cNvPicPr>
                      <a:picLocks noChangeAspect="1" noChangeArrowheads="1"/>
                    </pic:cNvPicPr>
                  </pic:nvPicPr>
                  <pic:blipFill>
                    <a:blip r:embed="rId9"/>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Selección del origen «GitHub Actions» para GitHub Pages.</w:t>
      </w:r>
    </w:p>
    <w:p>
      <w:pPr>
        <w:pStyle w:val="Heading2"/>
        <w:rPr/>
      </w:pPr>
      <w:bookmarkStart w:id="30" w:name="__RefHeading___Toc6008_3680603316"/>
      <w:bookmarkEnd w:id="30"/>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9" name="pull_request.png" descr="Figura 9&#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ull_request.png" descr="Figura 9&#10;Pull Request #1 en GitHub (interfaz traducida automáticamente al español por el navegador)."/>
                    <pic:cNvPicPr>
                      <a:picLocks noChangeAspect="1" noChangeArrowheads="1"/>
                    </pic:cNvPicPr>
                  </pic:nvPicPr>
                  <pic:blipFill>
                    <a:blip r:embed="rId10"/>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0" name="pull_request_fusion.png" descr="Figura 10&#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_fusion.png" descr="Figura 10&#10;Fusión del Pull Request: se mantiene la opción «Crear una confirmación de fusión»."/>
                    <pic:cNvPicPr>
                      <a:picLocks noChangeAspect="1" noChangeArrowheads="1"/>
                    </pic:cNvPicPr>
                  </pic:nvPicPr>
                  <pic:blipFill>
                    <a:blip r:embed="rId11"/>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Fusión del Pull Request: se mantiene la opción «Crear una confirmación de fusión».</w:t>
      </w:r>
      <w:r>
        <w:br w:type="page"/>
      </w:r>
    </w:p>
    <w:p>
      <w:pPr>
        <w:pStyle w:val="Heading1"/>
        <w:rPr/>
      </w:pPr>
      <w:bookmarkStart w:id="31" w:name="__RefHeading___Toc6010_3680603316"/>
      <w:bookmarkEnd w:id="31"/>
      <w:r>
        <w:rPr/>
        <w:t>10. Pruebas y verificación</w:t>
      </w:r>
    </w:p>
    <w:p>
      <w:pPr>
        <w:pStyle w:val="Heading2"/>
        <w:rPr/>
      </w:pPr>
      <w:bookmarkStart w:id="32" w:name="__RefHeading___Toc6012_3680603316"/>
      <w:bookmarkEnd w:id="32"/>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19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3" w:name="__RefHeading___Toc6014_3680603316"/>
      <w:bookmarkEnd w:id="33"/>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4" w:name="__RefHeading___Toc6016_3680603316"/>
      <w:bookmarkEnd w:id="34"/>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5" w:name="__RefHeading___Toc6018_3680603316"/>
      <w:bookmarkEnd w:id="35"/>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del autor y confianza derivada del código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análisis del autor reemplaza la estimación inicial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evento por día en noticias detectadas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contar varias veces el mismo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que cambian con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Interpretación prudente y recalibración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descartados con motivo,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del análisis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Telegram de los grupos como fuente de reclamos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hacktivismo se anuncia en Telegram</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ventana de 21 días y validación por tramos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el ruido de las ventanas encadenadas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centrada en LulzSec; otros actores solo como comparación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 del autor sobre el alcance</w:t>
            </w:r>
          </w:p>
        </w:tc>
      </w:tr>
    </w:tbl>
    <w:p>
      <w:pPr>
        <w:pStyle w:val="Heading1"/>
        <w:rPr/>
      </w:pPr>
      <w:r>
        <w:br w:type="page"/>
      </w:r>
      <w:bookmarkStart w:id="36" w:name="__RefHeading___Toc6020_3680603316"/>
      <w:bookmarkEnd w:id="36"/>
      <w:r>
        <w:rPr/>
        <w:t>13. Estado actual y próximos pasos</w:t>
      </w:r>
    </w:p>
    <w:p>
      <w:pPr>
        <w:pStyle w:val="Heading2"/>
        <w:rPr/>
      </w:pPr>
      <w:bookmarkStart w:id="37" w:name="__RefHeading___Toc6022_3680603316"/>
      <w:bookmarkEnd w:id="37"/>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8" w:name="__RefHeading___Toc6024_3680603316"/>
      <w:bookmarkEnd w:id="38"/>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Completar la verificación:</w:t>
      </w:r>
      <w:r>
        <w:rPr/>
        <w:t xml:space="preserve"> quedan 6 incidentes (entre ellos INC-013, Stucx Team, sin fecha) y los 16 hechos clave (sección 14.6). Todos los hacktivistas con fecha ya están verificados.</w:t>
      </w:r>
    </w:p>
    <w:p>
      <w:pPr>
        <w:pStyle w:val="ListParagraph"/>
        <w:numPr>
          <w:ilvl w:val="0"/>
          <w:numId w:val="6"/>
        </w:numPr>
        <w:spacing w:before="0" w:after="60"/>
        <w:rPr/>
      </w:pPr>
      <w:r>
        <w:rPr>
          <w:b/>
          <w:bCs/>
        </w:rPr>
        <w:t>Verificar los 16 hechos clave</w:t>
      </w:r>
      <w:r>
        <w:rPr/>
        <w:t xml:space="preserve">, que desde el 30/10/2026 son los únicos detonantes del semáforo, y </w:t>
      </w:r>
      <w:r>
        <w:rPr>
          <w:b/>
          <w:bCs/>
        </w:rPr>
        <w:t>revisar los candidatos</w:t>
      </w:r>
      <w:r>
        <w:rPr/>
        <w:t xml:space="preserve"> propuestos automáticamente en </w:t>
      </w:r>
      <w:r>
        <w:rPr>
          <w:rFonts w:eastAsia="Consolas" w:cs="Consolas" w:ascii="Consolas" w:hAnsi="Consolas"/>
          <w:sz w:val="19"/>
          <w:szCs w:val="19"/>
        </w:rPr>
        <w:t>datos/candidatos_hechos_clave.csv</w:t>
      </w:r>
      <w:r>
        <w:rPr/>
        <w:t xml:space="preserve"> (una fila por día).</w:t>
      </w:r>
    </w:p>
    <w:p>
      <w:pPr>
        <w:pStyle w:val="Heading2"/>
        <w:rPr/>
      </w:pPr>
      <w:bookmarkStart w:id="39" w:name="__RefHeading___Toc6026_3680603316"/>
      <w:bookmarkEnd w:id="39"/>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hecho (ventanas de 3 a 30 días, detonantes automáticos frente a curados, tramos de calibración y validación; sección 15.5). Queda repetirlo cuando aparezcan ataques de LulzSec en el tramo de validación.</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40" w:name="__RefHeading___Toc6028_3680603316"/>
      <w:bookmarkEnd w:id="40"/>
      <w:r>
        <w:rPr/>
        <w:t>14. Búsqueda de incidentes y diseño de la evaluación</w:t>
      </w:r>
    </w:p>
    <w:p>
      <w:pPr>
        <w:pStyle w:val="Heading2"/>
        <w:rPr/>
      </w:pPr>
      <w:bookmarkStart w:id="41" w:name="__RefHeading___Toc6030_3680603316"/>
      <w:bookmarkEnd w:id="41"/>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2" w:name="__RefHeading___Toc6032_3680603316"/>
      <w:bookmarkEnd w:id="42"/>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3" w:name="__RefHeading___Toc6034_3680603316"/>
      <w:bookmarkEnd w:id="43"/>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4" w:name="__RefHeading___Toc6036_3680603316"/>
      <w:bookmarkEnd w:id="44"/>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5" w:name="__RefHeading___Toc6038_3680603316"/>
      <w:bookmarkEnd w:id="45"/>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269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en Bolivia y la política exterior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 Javier Milei planea fortalecer los lazos internacionales con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nuevo orden global inicia : los BRICS suman a Argentina , Egipto , Etiopía y Irán , Arabia Saudí , Emiratos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Argentina , Irán y Arabia Saudí , entre los 6 países invitados a unirse al bloque BRICS # 25Ago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Estados Unidos sancionó a un alto operativo de Hezbollah que participó en el atentado a la AMIA de 1994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Estados Unidos sancionó a un alto miembro de Hezbollah vinculado al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Fernández , en la ONU : reclamo sobre Malvinas , referencia a AMIA y crítica al FMI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causa por el atentado a la AMIA cambia de juez</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y Hamas en guerra : murió un argentino en uno de los ataques , confirmó la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Masiva marcha en la Ciudad de Buenos Aires para apoyar a Israel tras los ataques terroristas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multitud se congregó en Buenos Aires para apoyar a Israel ante los ataques de Hamas – LV7</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los asesinos de Hamas no les interesa Palestina , dijo un argentino en Israel - Notas - Ahora país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Refuerzan medidas de seguridad en Argentina tras el  viernes de ira  de Hamas en contra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en guerra con Hamas : Argentina exige la inmediata e incondicional liberación de los rehenes de todas las nacionalidades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Israel e Hamas : Argentina recebe 244 cidadãos do país retirados de Tel - Aviv</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Un amigo argentino del Papa Francisco es una de las víctimas de Hamás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de Israel en Buenos Aires recibió una amenaza de bomba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Сonfirman la muerte de un octavo argentino en la ofensiva de Hamás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VIDEO | Solano en la Embajada de Palestina :  Hacía falta en Argentina una gran manifestación contra el genocidio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confirmó la muerte de un nuevo argentino y ya son 9 los fallecidos tras el ataque de Hamás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espera una advertencia sobre los medicamentos para el resfriado y un acalorado debate sobre la guerra Hamás - Israel en la Asamblea Nacional y las elecciones presidenciales en Argentina . Noticias del lunes por la mañana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Noticiero : la  lección  de Israel a la ONU , Irán acusa a EEUU y Bullrich anuncia su apoyo a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Conflicto entre Israel y Hamas : un bebé argentino de nueve meses es el rehén más joven | Estiman que hay 21 argentinos retenidos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bebé argentino de nueve meses está retenido por Hamás , según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Milei ausente , Massa participó de un evento organizado por la DAIA y prometió catalogar a Hamás como organización terrorista | Nuevo Diario Web</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también condenó la respuesta de Israel al ataque terrorista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Familiares de víctimas del atentado a la AMIA reclaman la liberación de los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Alberto recibió a representantes de DAIA y AMIA por la situación de los rehenes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recibió un petitorio de AMIA y DAIA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Diego Guelar :  La actitud de Argentina y del mundo libre debe ser la de exhortar al pueblo palestino a sacarse el yugo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DAIA alertó sobre posibles ataques de Hamás fuera de Oriente Medio , incluso en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homenaje a las víctimas de Hamás | Inauguración de una muestra en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Cuáles son las consecuencias del resurgimiento del conflicto entre Israel y Hamás en Argentina , Italia , Estados Unidos y Egipto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vínculo de Javier Milei con Israel : un viaje antes de asumir y la idea de mudar la embajada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solo va a detenerse cuando Hamás deje de ser gobierno en Gaza : politólogo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familia del bebé argentino secuestrado por Hamas enfrenta momentos desesperantes : aún no saben si será liberado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en Medio Oriente : el bebé argentino secuestrado en Gaza no estaría en manos de Hamas sino de otra organización terrorista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liberó a seis mujeres con ciudadanía argentina tras 52 días de cautiverio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Anuncian que el rehén argentino de 10 meses , su hermano y su madre murieron en ataque israelí - El movimiento islamista palestino Hamas responsabilizó del hecho a un bombardeo de Israel sobre la Franja de Gaza ocurrido antes del inicio de la tregua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anunció la muerte del rehén argentino de 10 meses - Lo atribuyeron a un ataque israelí sobre Gaza , antes del inicio de la tregua . Fueron identificados como Sherry Silverman Bibas , Kfir y Ariel Bibas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Mudar la embajada en Israel : una idea a contramano de la ONU | Javier Milei quiere trasladar la sede diplomática de Tel Aviv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aseguró que ofreció entregar los cuerpos del bebé argentino y su familia pero que Israel permaneció  indiferente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Netanyahu habló con Milei , lo invitó a Israel y agradeció su intención de trasladar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elevó el nivel de alerta para sus ciudadanos en Argentina y Brasil por posibles ataques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Reportan una nueva alerta de bomba en la AMIA de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 A dos meses del ataque de Hamás a Israel , la comunidad judía convocó a un acto contra el terrorismo y antisemitismo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recibirá al canciller de Israel y a familiares de secuestrados por Hamás antes de su asunción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Muere en Gaza un hijo de una pareja israelí que trabajó en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Hamas War : Argentine Hostage Ron Sherman is Found Dead In Gaza Strip</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Uno de los tres rehenes que escaparon de Hamás y fueron asesinados por Israel en Gaza era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indicts Hezbollah terrorist who planned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charges alleged Hezbollah operative in 1994 Argentina AMIA Jewish center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Justice Department Indicts Hezbollah Terrorist Linked To Argentina Jewish Community Center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dijo que evalúa declarar a Hamas como organización terrorista :  Estamos trabajando en eso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Israel - Palestina : Milei busca incorporar a Hamas al listado de organizaciones terroristas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farmacias cerrarán por una hora este viernes e irán a la justicia contra el DNU de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repudió el terrorismo de Hamás y recordó a  las fuerzas del cielo  que lo llevaron al triunfo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Fiscalía argentina avaló el decomiso del avión iraní - venezolano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Datos claves sobre los posibles TERRORISTAS en Argentina : paquete , pasaporte falso y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Uno de los tripulantes del avión iraní retenido en Argentina se habría hecho un cambio de rostro en Cuba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argentino Javier Milei condena al terrorismo a 100 días del ataque de Hamas contra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políticas de Netanyahu fortalecieron a Hamas , dice un argentino que es referente de la izquierda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Gaza : el bebé argentino - israelí secuestrado por Hamás cumple un año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Piden la liberación del bebé argentino - israelí secuestrado por Hamas que cumple un año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cumpleaños más triste del mundo : El rehén argentino israelí Kfir Bibas cumple un año de vida estando en cautiverio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condenó a Hamás y se comprometió a  poner fin a la impunidad  del atentado a la AMIA :: El Diario de La Pampa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Milei bien sionista pidió combatir a Hamás y tomó postura en el presunto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Milei bien sionista pidió combatir a Hamás y tomó postura en el presunto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viaja a Israel para visitar Jerusalén , Tel Aviv y un kibutz atacado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en Medio Oriente : cómo será la visita a Israel , en plena guerra con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 / Hamás  condena  traslado de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condena el anuncio de Milei de trasladar de la embajada de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qué Milei no podría cumplir su promesa de trasladar la embajada argentina en Israel a Jerusalén | BBCL Contigo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Mover la embajada en Israel : un gesto que aleja a la Argentina del consenso global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visita de Milei a Jerusalén , 2 rehenes argentinos en poder de Hamás fueron liberados por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Avión venezolano - iraní incautado en Argentina en 2022 , aterrizó en EEUU # 12Feb</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Nicolás Maduro tildó de loco y bandido a Javier Milei al acursarlo de robarse el avión venezolano -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AMIA realizará homenaje al fiscal Nisman y descubrirá una placa en la sede de la mutual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inauguró en la AMIA una placa en honor al fiscal Alberto Nisman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homenajeó al exfiscal Alberto Nisman con una placa en la sede - Al evento asistieron la exesposa del fiscal , Sandra Arroyo Salgado , su madre Sara Garfunkel , su hermana Sandra y sus hijas Iara y Kala ; el embajador de Israel , Eyal Sela ; y 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Hamas war brings back pain to Argentine Jewish community decades after major bombing attack – Winnipeg Free Press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 are still here : Israel - Hamas war brings back pain to Argentine Jewish community decades after major bombing attack | News , Sports , Jobs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Gran Hermano se pronuncia ante el infame comentario de Agostina sobre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Santiago del Moro encaró a Agostina por su comentario sobre la AMIA en Gran Hermano , y ella se justificó :  Es un dicho que se dice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anciana argentina se salvó de Hamas pronunciando el nombre de Leo Messi – Telemundo Denver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anciana argentina se salvó de Hamas pronunciando el nombre de Leo Messi – Telemundo Puerto Rico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Nicolás Maduro | Venezuela prohíbe uso de espacio aéreo a Argentina y califica de  neonazi  al Gobierno de Javier Milei | Boeing 747 venezolana iraní | prohibe circulación de aviones argentinos | límites de espacio aéreo venezolano | Venezuela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la Embajada de Francia recordaron a las víctimas del terrorismo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marks 32 years since Hezbollah bombed embassy in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y Villarruel participaron del acto en homenaje a las víctimas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No somos Dinamarca ? México , abajo de Argentina y al nivel de Irán en Índice de Desarrollo Humano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Israel no está cometiendo ni un solo exceso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Israel  no comete exceso  en Gaza ; solo ha matado a 32 400</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responsabilizó a Irán y a Hezbollah por los atentados contra la embajada de Israel y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el ataque de Irán a Israel , la Argentina tomó una drástica decisión sobre sus embajadas en Medio Oriente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los atentados contra la AMIA y Embajada de Israel , piden romper vínculos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argentina califica de  crimen de lesa humanidad  el atentado de Irán y Hezbolá en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Ministra de Argentina advierte presencia de Hezbollah en el Perú</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Unsubstantiated : Iran rejects Argentine court blaming for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candidatura a la Corte cruzada por intereses internacionales : Lijo , Irán , Israel y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 Irán | Entrevista al embajador Eyal SELA : el histórico giro de la Argentina en Medio Oriente , la amenaza iraní y el temor a un tercer atentado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el atentado a la Amia , Argentina pide a Pakistán y Sri Lanka la detención del Ministro del Interior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Pedido de captura por la AMIA con un show destinado al tablero geopolítico | El imputado Ahmad Vahidi pasó por Pakistán y Sri Lanka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Irán calificó como ilegal el pedido argentino para arrestar al ministro del Interior buscado por la Justicia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Seeks Arrest of Iranian Minister for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El Congreso argentino reclamó la liberación de los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Pese a la resistencia de Cancillería , Milei insistió con mudar a Jerusalén la embajada argentina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Amenaza de bomba en la AMIA – Aurora Israel Noticias : Últimas Actualizaciones sobre el Conflicto con Hamas , Innovación Tecnológica y Avances Médicos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Revelan que Hamás asesinó a rehén argentino - israelí en ataques a kibutz : cuerpo está en Franja de Gaza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duras críticas contra Irán y Hamás , Javier Milei hizo un importante anuncio para respaldar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con Israel y EEUU contra Palestina en la ONU</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de la AMIA tildó de  xenófobo y antisemita  al Nobel de la paz Adolfo Pérez Esquivel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un fuerte reclamo por la urgente liberación de los rehenes de Hamas , se conmemoró en AMIA los 76 años del Estado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multitud despidió en Israel al argentino que murió combatiendo en Gaza :  Te fuiste cuando empezabas a vivir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Vóley | Argentina quedó a un paso de los Juegos Olímpicos París 2024 luego de ganarle a Irán con lo justo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ofrece beneficios impositivos para mudar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impactante relato de Dalia Gutmann sobre su padre , sobreviviente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On 30th anniversary of AMIA bombing , House reps call for justice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Memoria Activa celebra el fallo de la Corte IDH por el ataque a la AMIA en 1994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pedirá que aumenten las penas de los responsables de los atentados a la AMIA y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de Palestina en Buenos Aires presentará una edición en braille de la obra del poeta Mahmoud Darwish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publicó el  informe Toma  sobre el atentado a la AMIA : ratifica la responsabilidad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Causa AMIA : dan a conocer un informe que ratifica la participación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Desclasifican un informe que precisa el rol activo de Irán en el ataque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Newly Declassified Report Confirms Iranian Regime Role in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Miguel Angel Toma : Cristina Kirchner presionó a Nisman para que deje de investigar a Irán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Llaryora : El atentado a la Amia fue contra el pueblo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Inauguran una muestra de arte por los 30 años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Millones para pagar las pistas falsas del caso AMIA | Condenaron al juez , los fiscales y al Estado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Selección argentina : los cuatro CAMPEONES DEL MUNDO que irán a los Juegos Olímpicos de París 2024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Quiénes son los 23 jugadores que irán a los Juegos Olímpicos - Con Gerónimo Rulli , Nicolás Otamendi y Julián Álvarez como mayores , el técnico argentino confirmó la integración del plantel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Senado : aprobaron pliegos militares y se declaró duelo nacional al 18 de julio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ley , quieren reactivar los juicios por los atentados a la AMIA y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despidió a los atletas que irán a París 2024 :  Todo lo que logren será fruto del trabajo  | NoticiasNet - Informacion de Rio Negro , Patagones y la costa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Pacto de Mayo : los cuatro miembros de la Corte Suprema no irán al acto de Javier Milei en Tucumán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ratificó su plan de trasladar la embajada argentina en Israel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piedra de la AMIA es el eje de  Falta Compartida , la muestra sobre la memoria 30 años después del atentado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declaró a Hamás como organización terrorista y levantó reacciones del grupo palestino , Israel 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Israel a 30 años del atentado a la AMIA , familiares y secuestrados por Hamás van a homenajear a las víctimas del ataque a la mutual judía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agradeció a Argentina por declarar a Hamás organización terrorista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Atentado . Irán amenaza a la Argentina con hacerla  arrepentir por su enemistad</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Tensión : a 30 años del atentado a la AMIA , Irán amenazó a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comunidad judía pidió que el atentado a la AMIA sea una cuestión de Estado y volvió a acusar a Hezbolá 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Unity : Israel Thanks Leaders of Argentina for Demanding Justice Against Iran , Hezbollah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Hezbollah del Líbano , acusado por el atentado a la AMIA , expande su influencia en América Latina , según un dossier secreto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Iran Showed Its True Colors in the AMIA Bombing 30 years ago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Orsi le respondió a Ojeda por el evento en la AMIA :   No es buena cosa sacarse fotos  con  el dolor ajeno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vicegobernadora participó del acto en conmemoración por los 30 años de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municipalidad acompa el acto por el aniversario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Alerta de Israel por ataque de Irán : Evacuaron la embajada argentina en El Líbano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argentino fue alertado por Israel de un posible ataque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Supremo de Argentina avaló el decomiso del avión venezolano -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Terrorismo : la Unidad de Información Financiera ordenó congelar los bienes de dos hombres vinculados a Hezbolá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Detectaron una red que usó el sistema financiero argentino para mover dinero a Hezbollah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recibió a dos argentinos que fueron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lazos de Hezbollah en Argentina y la región que investiga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denuncias de antisemitismo en Argentina aumentaron un 44 % luego de la masacre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con Israel y EEUU contra una resolución de ONU que ordena la retirada israelí de Palestina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Venezuela ratifica orden de aprehensión contra Milei por caso de avión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Cynthia García :  No se puede aceptar la propuesta de Milei de continuar con el horror  | Cuestionó a Milei por su posición sobre Israel y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Hasan Nasrallah tenía pedido de captura de Alberto Nisman por los atentados a la embajada de Israel y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drástica medida que tomó Javier Milei tras el ataque de Irán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cancillería argentina condenó la ofensiva de Irán contra el Estado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Tráiganlos a casa , ahora : Milei recordó el ataque de Hamas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Masivo acto en Buenos Aires a un año del ataque de Hamas a Israel :  Todos los días es 7 de octubre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Conmemoraciones en la Ciudad al cumplirse un año del ataque terrorista perpetrado por HAMAS en Israel | Buenos Aires Ciudad</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argentina en Israel destacó que se haya abatido al líder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reveló la identidad de un jefe de Hezbollah y lo señaló como el responsable de los atentados a la AMIA y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Revelaron la identidad de un jefe de Hezbollah y lo señalaron responsable de los atentados a la AMIA y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 en este Gobierno donde se condenó a Irán por los atentados y donde se condenó a CFK , festejó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Mientras los kirchneristas hacían un memorándum con Irán , nosotros hacemos uno con Israel  - Eso sostuvo al disertar en la entrega del premio Israel Innovation Awards , en el Hotel Emperador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Tensión : Milei y Caputo no irán a la convención de la UIA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Cristina Kirchner debe enfrentar un nuevo juicio por el intento de un acuerdo con Irán para investigar el atentado contra la mutual judía de Buenos Aires que mató a 85 personas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Supremo ordena que Cristina Fernández vaya a juicio por supuesto encubrimiento del atentado a la AMIA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Cristina , Irán y el Presupuesto 2025 : demasiado para una sola semana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ONU recuerda el principio de inviolabilidad ante asedio a embajada argentina en Venezuela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Esposa liberada del rehén argentino - israelí David Cunio :  imaginen lo que está soportando en Gaza un año sin nosotras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familia argentina estaría en la lista de rehenes que liberará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nuevo informe asegura que a Alberto Nisman lo mataron por investigar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dio su apoyo a la tregua entre Israel y Hamas :  Cuentan con todo el apoyo de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promises justice for AMIA bombing prosecutor Nisman , terror victim</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Bombing Investigator Alberto Nisman Who Accused Iran Was Murdered , New Argentine Report Concludes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pushes for justice in AMIA bombing and Nisman death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acusó a Hamas de violar el acuerdo por no liberar a la argentina Shiri Silberman y a sus dos hijos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revela los nombres de los tres rehenes que serán liberados : uno es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organización terrorista Hamás liberó al argentino Yarden Bibas y a otros dos rehenes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liberó al argentino Yarden Bibas y a otros dos rehenes en Gaza | Diario Noticias De La Calle de Misiones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Familia Bibas exige  respuestas  de Israel sobre niños rehenes de origen argentino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Diputados aprobó el  juicio en ausencia : qué significa y cómo afecta a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tres rehenes , entre ellos un argentino - israelí , que está previsto que sean liberados el sábado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Tres rehenes israelíes fueron liberados por Hamás , uno de ellos argentino -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confirma que el jueves entregará a Israel los cuerpos de la familia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duro mensaje de la embajada de Israel tras confirmarse que Hamas entregará los cuerpos de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entrega en Gaza los cuerpos de la familia argentina Bibas : ataúdes ya están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says Argentine - Israeli Shiri Bibas not among bodies delivered by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relato de un argentino que estuvo 129 días secuestrado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senadores kirchneristas no irán a la Asamblea Legislativa : Milei  nos trata muy mal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Rosatti se excusó de actuar en la causa por irregularidades en la investigación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gobernadores del PJ no irán al Congreso y casi no habrá presencia de la oposición en el discurso de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es Iair Horn , el rehén argentino liberado por Hamas que se reunió con Donald Trump en la Casa Blanca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cumplen hoy 33 años del atentado a la Embajada de Israel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volverá a Israel y se reunirá con Netanyahu en medio del fracaso de las negociaciones con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volverá a Israel y se reunirá con Netanyahu en medio del fracaso de las negociaciones con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informó que mató al terrorista de Hamás que asesinó a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informó que mató al terrorista de Hamás que asesinó a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 destituyeron al vicepresidente por irse de vacaciones a la Antártida y Argentina | Tras difundirse en redes sociales fotos de sus viajes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Piden investigar cómo entró al país el vicepresidente de Irán echado por vacacionar en Argentina : las dudas y el rol de la SIDE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prensa israelí se hace eco del pedido fiscal de arresto del líder supremo de Irán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fiscal de la causa AMIA pidió la captura internacional de un alto jerarca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amenazó al Gobierno luego de una decisión del fiscal a cargo de la investigación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el escándalo con el vice iraní , la Argentina le impedirá el ingreso a deportistas de ese país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Senadores radicales recibieron a representantes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Polémica por la invitación del rabino de la AMIA a Parrilli , imputado por el Memorándum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reward for info on Hezbollah at Argentina - Brazil - Paraguay border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 que se sabe sobre presença do Hezbollah na fronteira entre Brasil , Paraguai e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AMIA lamentó la muerte de los cuatro integrantes de una familia en Villa Crespo :  Es un momento de profundo dolor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Era el alma del equipo : el conmovedor recuerdo de los familiares del soldado argentino - israelí caído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llega a Israel para expresar todo su apoyo mientras Gaza se sume en el hambre y la desesperación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cierra filas con Israel en su lucha contra el terrorismo y exige la liberación los cuatro argentinos secuestrados por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President Milei Announces Argentina Will Move Embassy in Israel to Jerusalem Next Year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Repercusiones del ataque israelí a Irán : el Gobierno reforzó la vigilancia en la AMIA e Israel cerró su embajada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cerró su embajada en Buenos Aires tras el ataque a Irán – 4SEMANAS | Últimas noticias de Argentina y el mundo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Milei avaló en X un rechazo a dar una explicación oficial al gobierno de Irán por el juicio en ausencia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Caso AMIA : la defensa de los acusados apeló el juicio en ausencia impulsado por Rafecas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Telefe estrena  AMIA : La Serie , a más de tres décadas del atentado : cuándo se puede ver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La serie  revela cómo el pasado sin resolver de los atentados en Buenos Aires sigue marcando la memoria colectiva argentina y mundial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juez Rafecas se reunió con familiares y querellantes en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Parlamento de Israel homenajeó por primera vez a las víctimas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señaló a Javier Milei y a la Argentina por su apoyo a Israel a días del aniversario por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Irán y los fantasmas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Iran Marks 31st Anniversary of AMIA Bombing by Slamming Argentina  Baseles Accusations , Blaming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rechaza  acusaciones infundadas  en el caso AMIA y exige una investigación transparente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Jewish community commemorates AMIA centre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conmemoró en la ciudad de Santa Fe el 31er . aniversario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embajador de Trump en la Argentina dijo que trabajará contra la influencia de Cuba , Venezuela , Nicaragua , China e Irán en la región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tripulación del avión venezolano - iraní retenido en la Argentina demandó a Milman en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Santos en crisis : irán en busca de un técnico argentino para evitar el descenso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Patricia Bullrich apuntó contra el Municipio de Lomas de Zamora por el ataque a Milei y aseguró que irán presos los responsables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Atentado de Hamás en una parada de colectivos en Jerusalén : una argentina entre las víctimas fatales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a Israel en la ONU por Gaza , pero condena a petrolera israelí que opera en Malvinas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 alinea en la ONU a EE . UU . e Israel , apoyando genocidio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 alinea en la ONU a EEUU e Israel , apoyando genocidio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confirma juicio en ausencia para iraníes y libaneses acusados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se deshace en elogios a Trump en la ONU y omite hablar de la masacre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Argentine Judge Confirms Trial in Absentia for Iranian , Lebanese Suspects Accused in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se reunió con Netanyahu en Nueva York y ratificó su apoyo a Israel frente a Hamas - Bajo un fuerte operativo de seguridad , ambos analizaron la situación de los rehenes secuestrados por Hamas en Gaza y la crisis geopolítica en Medio Oriente , t...</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Presentaron los legados de María Elena Walsh y Sara Facio que irán a España | En la embajada en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Franja de Gaza : un dirigente argentino advirtió que Israel impide el ingreso de ayuda humanitaria a Palestina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Liberaron a la legisladora argentina detenida en Israel durante misión humanitaria 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postula a Donald Trump para el Nobel de la Paz por su rol en el pacto Israel -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Itzik Horn , padre de un argentino rehén de Hamas :  Lo más importante es que esta guerra termine y vuelvan todos los secuestrados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fue Lior Rudaeff , el rehén argentino que murió en manos de Hamas por el que pidió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Ricardo Nachman , forense argentino en Israel :  Lo que mucha gente del mundo no conoce es la importancia que tiene el cadáver para un judío o un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Ukraine , the Israel - Hamas war , Argentina , drug smuggling , and the government shutdown : October 17</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Nuevo ascenso en Irán para un acusado en Argentina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Nuevo cadáver entregado por Hamás corresponde a rehén israelí - argentino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Hamás entregó el cuerpo del rehén argentino Lior Rudaeff</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Sheinbaum y Milei no irán al G20 ( tampoco Trump , Xi y Putin ) – DW – 21 / 11 / 2025</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con el canciller israelí : confirmó que viajará a Jerusalén e inaugurará la nueva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volverá a Israel para trasladar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en el aniversario de la DAIA :  Mientras otros gobiernos pactaban con Irán , nosotros pactamos con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6" w:name="__RefHeading___Toc6040_3680603316"/>
      <w:bookmarkEnd w:id="46"/>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7" w:name="__RefHeading___Toc6042_3680603316"/>
      <w:bookmarkEnd w:id="47"/>
      <w:r>
        <w:rPr/>
        <w:t>15. Evaluación del modelo</w:t>
      </w:r>
    </w:p>
    <w:p>
      <w:pPr>
        <w:pStyle w:val="Heading2"/>
        <w:rPr/>
      </w:pPr>
      <w:bookmarkStart w:id="48" w:name="__RefHeading___Toc6044_3680603316"/>
      <w:bookmarkEnd w:id="48"/>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21, 30 días (</w:t>
      </w:r>
      <w:r>
        <w:rPr>
          <w:b/>
          <w:bCs/>
        </w:rPr>
        <w:t>análisis de sensibilidad</w:t>
      </w:r>
      <w:r>
        <w:rPr/>
        <w:t>). La de 21 días es la que usa el semáforo.</w:t>
      </w:r>
    </w:p>
    <w:p>
      <w:pPr>
        <w:pStyle w:val="Normal"/>
        <w:spacing w:lineRule="exact" w:line="290" w:before="0" w:after="120"/>
        <w:rPr/>
      </w:pPr>
      <w:r>
        <w:rPr/>
        <w:t xml:space="preserve">Desde el 30/10/2026 el grupo foco es </w:t>
      </w:r>
      <w:r>
        <w:rPr>
          <w:b/>
          <w:bCs/>
        </w:rPr>
        <w:t>LulzSec</w:t>
      </w:r>
      <w:r>
        <w:rPr/>
        <w:t xml:space="preserve">. Los ataques de otros actores (otros hacktivistas, cibercriminales, desconocidos) no se muestran en la plataforma, pero se mantienen aquí como </w:t>
      </w:r>
      <w:r>
        <w:rPr>
          <w:b/>
          <w:bCs/>
        </w:rPr>
        <w:t>grupo de comparación</w:t>
      </w:r>
      <w:r>
        <w:rPr/>
        <w:t>: sin él no se podría saber si la razón de LulzSec supera al azar por algo más que casualidad.</w:t>
      </w:r>
    </w:p>
    <w:p>
      <w:pPr>
        <w:pStyle w:val="Heading2"/>
        <w:rPr/>
      </w:pPr>
      <w:bookmarkStart w:id="49" w:name="__RefHeading___Toc6046_3680603316"/>
      <w:bookmarkEnd w:id="49"/>
      <w:r>
        <w:rPr/>
        <w:t>15.2. Resultados preliminares</w:t>
      </w:r>
    </w:p>
    <w:p>
      <w:pPr>
        <w:pStyle w:val="Normal"/>
        <w:spacing w:lineRule="exact" w:line="290" w:before="0" w:after="120"/>
        <w:rPr/>
      </w:pPr>
      <w:r>
        <w:rPr/>
        <w:t>Período evaluado: 2023-08-01 a 2026-10-30 (1187 días, 16 días detonantes). Datos al 2026-10-30.</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 (11.1 %)</w:t>
            </w:r>
          </w:p>
          <w:p>
            <w:pPr>
              <w:pStyle w:val="Normal"/>
              <w:spacing w:before="0" w:after="20"/>
              <w:rPr/>
            </w:pPr>
            <w:r>
              <w:rPr>
                <w:sz w:val="19"/>
                <w:szCs w:val="19"/>
              </w:rPr>
              <w:t>razón 2.13</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2.2</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1.43</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1.27</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1.14</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3.24</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4.32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0.96</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0.86</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(100 %)</w:t>
            </w:r>
          </w:p>
          <w:p>
            <w:pPr>
              <w:pStyle w:val="Normal"/>
              <w:spacing w:before="0" w:after="20"/>
              <w:rPr/>
            </w:pPr>
            <w:r>
              <w:rPr>
                <w:sz w:val="19"/>
                <w:szCs w:val="19"/>
              </w:rPr>
              <w:t>razón 3.42</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3.42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0.76</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0.68</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3.19</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3.3</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1.9</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1.43</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4.32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1.44</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1.08</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3.42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1.14</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0.86</w:t>
            </w:r>
          </w:p>
        </w:tc>
      </w:tr>
    </w:tbl>
    <w:p>
      <w:pPr>
        <w:pStyle w:val="Normal"/>
        <w:spacing w:before="0" w:after="120"/>
        <w:rPr/>
      </w:pPr>
      <w:r>
        <w:rPr/>
      </w:r>
    </w:p>
    <w:p>
      <w:pPr>
        <w:pStyle w:val="Heading3"/>
        <w:rPr/>
      </w:pPr>
      <w:r>
        <w:rPr/>
        <w:t>Solo incidentes verificados por el autor</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 (0 %)</w:t>
            </w:r>
          </w:p>
          <w:p>
            <w:pPr>
              <w:pStyle w:val="Normal"/>
              <w:spacing w:before="0" w:after="20"/>
              <w:rPr/>
            </w:pPr>
            <w:r>
              <w:rPr>
                <w:sz w:val="19"/>
                <w:szCs w:val="19"/>
              </w:rPr>
              <w:t>razón 0</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1.65</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1.43</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0.95</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1.9</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3.24</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4.32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0.72</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1.44</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(100 %)</w:t>
            </w:r>
          </w:p>
          <w:p>
            <w:pPr>
              <w:pStyle w:val="Normal"/>
              <w:spacing w:before="0" w:after="20"/>
              <w:rPr/>
            </w:pPr>
            <w:r>
              <w:rPr>
                <w:sz w:val="19"/>
                <w:szCs w:val="19"/>
              </w:rPr>
              <w:t>razón 3.42</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3.42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0.57</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1.14</w:t>
            </w:r>
          </w:p>
        </w:tc>
      </w:tr>
    </w:tbl>
    <w:p>
      <w:pPr>
        <w:pStyle w:val="Normal"/>
        <w:spacing w:before="0" w:after="120"/>
        <w:rPr/>
      </w:pPr>
      <w:r>
        <w:rPr/>
      </w:r>
    </w:p>
    <w:p>
      <w:pPr>
        <w:pStyle w:val="Normal"/>
        <w:keepNext w:val="true"/>
        <w:spacing w:before="120" w:after="60"/>
        <w:jc w:val="center"/>
        <w:rPr/>
      </w:pPr>
      <w:r>
        <w:rPr/>
        <w:drawing>
          <wp:inline distT="0" distB="0" distL="0" distR="0">
            <wp:extent cx="5715000" cy="5667375"/>
            <wp:effectExtent l="0" t="0" r="0" b="0"/>
            <wp:docPr id="11" name="web_evaluacion.png" descr="Figura 11&#10;Sección «Evaluación del modelo» en la página (30/10/2026): LulzSec como grupo foco, los demás actores como comparación y la tabla «antes y después» de los detonantes cu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b_evaluacion.png" descr="Figura 11&#10;Sección «Evaluación del modelo» en la página (30/10/2026): LulzSec como grupo foco, los demás actores como comparación y la tabla «antes y después» de los detonantes curados."/>
                    <pic:cNvPicPr>
                      <a:picLocks noChangeAspect="1" noChangeArrowheads="1"/>
                    </pic:cNvPicPr>
                  </pic:nvPicPr>
                  <pic:blipFill>
                    <a:blip r:embed="rId12"/>
                    <a:stretch>
                      <a:fillRect/>
                    </a:stretch>
                  </pic:blipFill>
                  <pic:spPr bwMode="auto">
                    <a:xfrm>
                      <a:off x="0" y="0"/>
                      <a:ext cx="5715000" cy="5667375"/>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Sección «Evaluación del modelo» en la página (30/10/2026): LulzSec como grupo foco, los demás actores como comparación y la tabla «antes y después» de los detonantes curados.</w:t>
      </w:r>
    </w:p>
    <w:p>
      <w:pPr>
        <w:pStyle w:val="Heading2"/>
        <w:rPr/>
      </w:pPr>
      <w:bookmarkStart w:id="50" w:name="__RefHeading___Toc6048_3680603316"/>
      <w:bookmarkEnd w:id="50"/>
      <w:r>
        <w:rPr/>
        <w:t>15.3. Lectura de los resultados</w:t>
      </w:r>
    </w:p>
    <w:p>
      <w:pPr>
        <w:pStyle w:val="Normal"/>
        <w:spacing w:lineRule="exact" w:line="290" w:before="0" w:after="120"/>
        <w:rPr/>
      </w:pPr>
      <w:r>
        <w:rPr/>
        <w:t xml:space="preserve">Los resultados </w:t>
      </w:r>
      <w:r>
        <w:rPr>
          <w:b/>
          <w:bCs/>
        </w:rPr>
        <w:t>cambian a medida que se completa el histórico de GDELT</w:t>
      </w:r>
      <w:r>
        <w:rPr/>
        <w:t xml:space="preserve"> (decisión D32). Conviene leerlos como una foto de cada momento:</w:t>
      </w:r>
    </w:p>
    <w:tbl>
      <w:tblPr>
        <w:tblW w:w="9638" w:type="dxa"/>
        <w:jc w:val="left"/>
        <w:tblInd w:w="0" w:type="dxa"/>
        <w:tblLayout w:type="fixed"/>
        <w:tblCellMar>
          <w:top w:w="60" w:type="dxa"/>
          <w:left w:w="100" w:type="dxa"/>
          <w:bottom w:w="60" w:type="dxa"/>
          <w:right w:w="100" w:type="dxa"/>
        </w:tblCellMar>
      </w:tblPr>
      <w:tblGrid>
        <w:gridCol w:w="1400"/>
        <w:gridCol w:w="2999"/>
        <w:gridCol w:w="2701"/>
        <w:gridCol w:w="25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29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Datos</w:t>
            </w:r>
          </w:p>
        </w:tc>
        <w:tc>
          <w:tcPr>
            <w:tcW w:w="27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Hacktivistas (21 días)</w:t>
            </w:r>
          </w:p>
        </w:tc>
        <w:tc>
          <w:tcPr>
            <w:tcW w:w="25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Cibercriminales (21 días)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~199 eventos geopolíticos; 23 incidentes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1,92 (todos) · 1,68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0,75 · 0,84</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(mañana)</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~691 eventos geopolíticos; 10 incidentes verificados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1,57 (todos) · 1,38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1,38</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(tarde)</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verificados, 3 descartados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1,83 (todos) · 2,20 (solo verificados)</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0,46</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~2.000 eventos geopolíticos; 227 días detonantes automáticos (ventana de 7 días)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1,16 (cobertura 51,6 %)</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1,29 (verificados)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(16 hechos clave), ventana de 21 días, foco LulzSec</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3 de 4 · razón 3,24 (cobertura 23,2 %)</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0,72 (verificados)</w:t>
            </w:r>
          </w:p>
        </w:tc>
      </w:tr>
    </w:tbl>
    <w:p>
      <w:pPr>
        <w:pStyle w:val="Normal"/>
        <w:spacing w:before="0" w:after="120"/>
        <w:rPr/>
      </w:pPr>
      <w:r>
        <w:rPr/>
      </w:r>
    </w:p>
    <w:p>
      <w:pPr>
        <w:pStyle w:val="ListParagraph"/>
        <w:numPr>
          <w:ilvl w:val="0"/>
          <w:numId w:val="3"/>
        </w:numPr>
        <w:spacing w:before="0" w:after="60"/>
        <w:rPr/>
      </w:pPr>
      <w:r>
        <w:rPr/>
        <w:t xml:space="preserve">Con más noticias detonantes, las ventanas cubren más días (con 21 días, cerca del 36 % del período). Así la ventaja de los hacktivistas se achica y, con confianza media o alta, se iguala a la de los cibercriminales. </w:t>
      </w:r>
      <w:r>
        <w:rPr>
          <w:b/>
          <w:bCs/>
        </w:rPr>
        <w:t>La hipótesis no puede confirmarse con los datos actuales.</w:t>
      </w:r>
    </w:p>
    <w:p>
      <w:pPr>
        <w:pStyle w:val="ListParagraph"/>
        <w:numPr>
          <w:ilvl w:val="0"/>
          <w:numId w:val="3"/>
        </w:numPr>
        <w:spacing w:before="0" w:after="60"/>
        <w:rPr/>
      </w:pPr>
      <w:r>
        <w:rPr/>
        <w:t xml:space="preserve">Con solo los incidentes </w:t>
      </w:r>
      <w:r>
        <w:rPr>
          <w:b/>
          <w:bCs/>
        </w:rPr>
        <w:t>verificados</w:t>
      </w:r>
      <w:r>
        <w:rPr/>
        <w:t xml:space="preserve"> (tras descartar 3 que no guardaban relación con el Estado argentino: Cyber Dragonz, REM y el ataque a la AFA), los hacktivistas caen dentro de las ventanas de 21 días en 4 de 5 casos (razón 2,20), frente a 1 de 6 de los cibercriminales (razón 0,46). Es la diferencia más clara obtenida hasta ahora.</w:t>
      </w:r>
    </w:p>
    <w:p>
      <w:pPr>
        <w:pStyle w:val="ListParagraph"/>
        <w:numPr>
          <w:ilvl w:val="0"/>
          <w:numId w:val="3"/>
        </w:numPr>
        <w:spacing w:before="0" w:after="60"/>
        <w:rPr/>
      </w:pPr>
      <w:r>
        <w:rPr>
          <w:b/>
          <w:bCs/>
        </w:rPr>
        <w:t>Pero</w:t>
      </w:r>
      <w:r>
        <w:rPr/>
        <w:t xml:space="preserve"> 4 de esos 5 hacktivistas se apoyan en fuentes de fiabilidad </w:t>
      </w:r>
      <w:r>
        <w:rPr>
          <w:b/>
          <w:bCs/>
        </w:rPr>
        <w:t>D</w:t>
      </w:r>
      <w:r>
        <w:rPr/>
        <w:t xml:space="preserve"> (no siempre fiable): por eso, con la variante de confianza media o alta casi no quedan hacktivistas para comparar. El resultado es </w:t>
      </w:r>
      <w:r>
        <w:rPr>
          <w:b/>
          <w:bCs/>
        </w:rPr>
        <w:t>indicativo, no concluyente</w:t>
      </w:r>
      <w:r>
        <w:rPr/>
        <w:t>, y muestra la limitación central del tema: hay pocas fuentes fiables sobre hacktivismo, que se anuncia sobre todo en Telegram y X (decisión D33).</w:t>
      </w:r>
    </w:p>
    <w:p>
      <w:pPr>
        <w:pStyle w:val="ListParagraph"/>
        <w:numPr>
          <w:ilvl w:val="0"/>
          <w:numId w:val="3"/>
        </w:numPr>
        <w:spacing w:before="0" w:after="60"/>
        <w:rPr/>
      </w:pPr>
      <w:r>
        <w:rPr/>
        <w:t xml:space="preserve">Dos casos siguen ilustrando una posible reacción a las </w:t>
      </w:r>
      <w:r>
        <w:rPr>
          <w:b/>
          <w:bCs/>
        </w:rPr>
        <w:t>dos o tres semanas</w:t>
      </w:r>
      <w:r>
        <w:rPr/>
        <w:t>: LulzSec Muslims (16 días después de la visita a Israel de 2024) y el intento de DDoS a la Cancillería (19 días después del ingreso al Board of Peace).</w:t>
      </w:r>
    </w:p>
    <w:p>
      <w:pPr>
        <w:pStyle w:val="ListParagraph"/>
        <w:numPr>
          <w:ilvl w:val="0"/>
          <w:numId w:val="3"/>
        </w:numPr>
        <w:spacing w:before="0" w:after="60"/>
        <w:rPr/>
      </w:pPr>
      <w:r>
        <w:rPr/>
        <w:t xml:space="preserve">Si la cobertura sigue creciendo al completarse el histórico, habrá que </w:t>
      </w:r>
      <w:r>
        <w:rPr>
          <w:b/>
          <w:bCs/>
        </w:rPr>
        <w:t>recalibrar el umbral de detonante</w:t>
      </w:r>
      <w:r>
        <w:rPr/>
        <w:t xml:space="preserve"> (por ejemplo, exigir 3 fuentes distintas por día) para que las ventanas sigan siendo selectivas.</w:t>
      </w:r>
    </w:p>
    <w:p>
      <w:pPr>
        <w:pStyle w:val="ListParagraph"/>
        <w:numPr>
          <w:ilvl w:val="0"/>
          <w:numId w:val="3"/>
        </w:numPr>
        <w:spacing w:before="0" w:after="60"/>
        <w:rPr/>
      </w:pPr>
      <w:r>
        <w:rPr>
          <w:b/>
          <w:bCs/>
        </w:rPr>
        <w:t>Falsos positivos observados:</w:t>
      </w:r>
      <w:r>
        <w:rPr/>
        <w:t xml:space="preserve"> el defacement de argentina.gob.ar (19/10/2023), de motivación interna, dentro de la ventana posterior al 7 de octubre; y una noticia sobre la detención de personas que amenazaron con bombas, clasificada como ataque por las palabras clave.</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1" w:name="__RefHeading___Toc6050_3680603316"/>
      <w:bookmarkEnd w:id="51"/>
      <w:r>
        <w:rPr/>
        <w:t>15.5. Detonantes curados: antes y después</w:t>
      </w:r>
    </w:p>
    <w:p>
      <w:pPr>
        <w:pStyle w:val="Normal"/>
        <w:spacing w:lineRule="exact" w:line="290" w:before="0" w:after="120"/>
        <w:rPr/>
      </w:pPr>
      <w:r>
        <w:rPr/>
        <w:t xml:space="preserve">El 30/10/2026 el autor pidió cambiar la definición de día detonante (decisión D35). La tabla compara, con los incidentes </w:t>
      </w:r>
      <w:r>
        <w:rPr>
          <w:b/>
          <w:bCs/>
        </w:rPr>
        <w:t>verificados</w:t>
      </w:r>
      <w:r>
        <w:rPr/>
        <w:t>, la regla anterior (</w:t>
      </w:r>
      <w:r>
        <w:rPr>
          <w:b/>
          <w:bCs/>
        </w:rPr>
        <w:t>automática</w:t>
      </w:r>
      <w:r>
        <w:rPr/>
        <w:t>: noticias de 2 o más fuentes el mismo día, o un hecho clave) con la nueva (</w:t>
      </w:r>
      <w:r>
        <w:rPr>
          <w:b/>
          <w:bCs/>
        </w:rPr>
        <w:t>curada</w:t>
      </w:r>
      <w:r>
        <w:rPr/>
        <w:t xml:space="preserve">: solo los hechos clave). Cada celda muestra ataques dentro de una ventana / total · razón. Se separan dos tramos: la </w:t>
      </w:r>
      <w:r>
        <w:rPr>
          <w:b/>
          <w:bCs/>
        </w:rPr>
        <w:t>calibración</w:t>
      </w:r>
      <w:r>
        <w:rPr/>
        <w:t xml:space="preserve"> (agosto 2023 – diciembre 2024, el período con el que se ajustaron las reglas) y la </w:t>
      </w:r>
      <w:r>
        <w:rPr>
          <w:b/>
          <w:bCs/>
        </w:rPr>
        <w:t>validación</w:t>
      </w:r>
      <w:r>
        <w:rPr/>
        <w:t xml:space="preserve"> (2025 – hoy, datos que no se usaron para ajustarlas).</w:t>
      </w:r>
    </w:p>
    <w:p>
      <w:pPr>
        <w:pStyle w:val="Heading3"/>
        <w:rPr/>
      </w:pPr>
      <w:r>
        <w:rPr/>
        <w:t>Total (2023-08-01 a 2026-10-30) · días detonantes: 277 automáticos → 16 curados</w:t>
      </w:r>
    </w:p>
    <w:tbl>
      <w:tblPr>
        <w:tblW w:w="9638" w:type="dxa"/>
        <w:jc w:val="left"/>
        <w:tblInd w:w="0" w:type="dxa"/>
        <w:tblLayout w:type="fixed"/>
        <w:tblCellMar>
          <w:top w:w="60" w:type="dxa"/>
          <w:left w:w="100" w:type="dxa"/>
          <w:bottom w:w="60" w:type="dxa"/>
          <w:right w:w="100" w:type="dxa"/>
        </w:tblCellMar>
      </w:tblPr>
      <w:tblGrid>
        <w:gridCol w:w="1099"/>
        <w:gridCol w:w="1350"/>
        <w:gridCol w:w="1401"/>
        <w:gridCol w:w="1399"/>
        <w:gridCol w:w="1351"/>
        <w:gridCol w:w="1399"/>
        <w:gridCol w:w="16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antes</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antes</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antes</w:t>
            </w:r>
          </w:p>
        </w:tc>
        <w:tc>
          <w:tcPr>
            <w:tcW w:w="135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ahora</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ahora</w:t>
            </w:r>
          </w:p>
        </w:tc>
        <w:tc>
          <w:tcPr>
            <w:tcW w:w="1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ahora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47.6 %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0.53</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 1.4</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63.2 %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1.19</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1.32</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1.65</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75.3 %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1.33</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1.11</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1.43</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0.95</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80.5 %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1.24</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1.04</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23.2 %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3.24</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0.72</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83.1 %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1.2</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1</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3.42</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0.57</w:t>
            </w:r>
          </w:p>
        </w:tc>
      </w:tr>
    </w:tbl>
    <w:p>
      <w:pPr>
        <w:pStyle w:val="Normal"/>
        <w:spacing w:before="0" w:after="120"/>
        <w:rPr/>
      </w:pPr>
      <w:r>
        <w:rPr/>
      </w:r>
    </w:p>
    <w:p>
      <w:pPr>
        <w:pStyle w:val="Heading3"/>
        <w:rPr/>
      </w:pPr>
      <w:r>
        <w:rPr/>
        <w:t>Calibración (2023-08-01 a 2024-12-31) · días detonantes: 185 automáticos → 8 curados</w:t>
      </w:r>
    </w:p>
    <w:tbl>
      <w:tblPr>
        <w:tblW w:w="9638" w:type="dxa"/>
        <w:jc w:val="left"/>
        <w:tblInd w:w="0" w:type="dxa"/>
        <w:tblLayout w:type="fixed"/>
        <w:tblCellMar>
          <w:top w:w="60" w:type="dxa"/>
          <w:left w:w="100" w:type="dxa"/>
          <w:bottom w:w="60" w:type="dxa"/>
          <w:right w:w="100" w:type="dxa"/>
        </w:tblCellMar>
      </w:tblPr>
      <w:tblGrid>
        <w:gridCol w:w="1099"/>
        <w:gridCol w:w="1350"/>
        <w:gridCol w:w="1401"/>
        <w:gridCol w:w="1399"/>
        <w:gridCol w:w="1351"/>
        <w:gridCol w:w="1399"/>
        <w:gridCol w:w="16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antes</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antes</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antes</w:t>
            </w:r>
          </w:p>
        </w:tc>
        <w:tc>
          <w:tcPr>
            <w:tcW w:w="135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ahora</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ahora</w:t>
            </w:r>
          </w:p>
        </w:tc>
        <w:tc>
          <w:tcPr>
            <w:tcW w:w="1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ahora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67.1 %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0.37</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1.12</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83.4 %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0.9</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0.9</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93.3 %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1.07</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0.8</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18.9 %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1.32</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96.3 %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1.04</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0.78</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2.8</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97.1 %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1.03</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0.77</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35.5 %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2.82</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bl>
    <w:p>
      <w:pPr>
        <w:pStyle w:val="Normal"/>
        <w:spacing w:before="0" w:after="120"/>
        <w:rPr/>
      </w:pPr>
      <w:r>
        <w:rPr/>
      </w:r>
    </w:p>
    <w:p>
      <w:pPr>
        <w:pStyle w:val="Heading3"/>
        <w:rPr/>
      </w:pPr>
      <w:r>
        <w:rPr/>
        <w:t>Validación (2025-01-01 a 2026-10-30) · días detonantes: 92 automáticos → 8 curados</w:t>
      </w:r>
    </w:p>
    <w:tbl>
      <w:tblPr>
        <w:tblW w:w="9638" w:type="dxa"/>
        <w:jc w:val="left"/>
        <w:tblInd w:w="0" w:type="dxa"/>
        <w:tblLayout w:type="fixed"/>
        <w:tblCellMar>
          <w:top w:w="60" w:type="dxa"/>
          <w:left w:w="100" w:type="dxa"/>
          <w:bottom w:w="60" w:type="dxa"/>
          <w:right w:w="100" w:type="dxa"/>
        </w:tblCellMar>
      </w:tblPr>
      <w:tblGrid>
        <w:gridCol w:w="1099"/>
        <w:gridCol w:w="1350"/>
        <w:gridCol w:w="1401"/>
        <w:gridCol w:w="1399"/>
        <w:gridCol w:w="1351"/>
        <w:gridCol w:w="1399"/>
        <w:gridCol w:w="16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antes</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antes</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antes</w:t>
            </w:r>
          </w:p>
        </w:tc>
        <w:tc>
          <w:tcPr>
            <w:tcW w:w="135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ahora</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ahora</w:t>
            </w:r>
          </w:p>
        </w:tc>
        <w:tc>
          <w:tcPr>
            <w:tcW w:w="1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ahora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32.5 %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1.54</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47.5 %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2.11</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9.6 %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5.22</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61.4 %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1.63</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16.5 %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3.04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68.1 %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1.47</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20.4 %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2.46</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72.2 %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1.39</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24.4 %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2.05</w:t>
            </w:r>
          </w:p>
        </w:tc>
      </w:tr>
    </w:tbl>
    <w:p>
      <w:pPr>
        <w:pStyle w:val="Normal"/>
        <w:spacing w:before="0" w:after="120"/>
        <w:rPr/>
      </w:pPr>
      <w:r>
        <w:rPr/>
      </w:r>
    </w:p>
    <w:p>
      <w:pPr>
        <w:pStyle w:val="Normal"/>
        <w:spacing w:lineRule="exact" w:line="290" w:before="0" w:after="120"/>
        <w:rPr/>
      </w:pPr>
      <w:r>
        <w:rPr>
          <w:b/>
          <w:bCs/>
        </w:rPr>
        <w:t>Lectura:</w:t>
      </w:r>
    </w:p>
    <w:p>
      <w:pPr>
        <w:pStyle w:val="ListParagraph"/>
        <w:numPr>
          <w:ilvl w:val="0"/>
          <w:numId w:val="3"/>
        </w:numPr>
        <w:spacing w:before="0" w:after="60"/>
        <w:rPr/>
      </w:pPr>
      <w:r>
        <w:rPr/>
        <w:t>Con la regla automática las ventanas cubrían entre la mitad y casi todo el período, y la razón de LulzSec quedaba cerca de 1: la alerta no se distinguía del azar. Con los hechos clave curados, la cobertura baja a un cuarto de los días y, con ventanas de 21 y 30 días, LulzSec cae dentro en 3 y 4 de sus 4 ataques (razón cercana a 3), mientras los cibercriminales quedan por debajo de 1.</w:t>
      </w:r>
    </w:p>
    <w:p>
      <w:pPr>
        <w:pStyle w:val="ListParagraph"/>
        <w:numPr>
          <w:ilvl w:val="0"/>
          <w:numId w:val="3"/>
        </w:numPr>
        <w:spacing w:before="0" w:after="60"/>
        <w:rPr/>
      </w:pPr>
      <w:r>
        <w:rPr/>
        <w:t xml:space="preserve">Con ventanas de 3 y 7 días ningún ataque de LulzSec cae dentro: los ataques ocurren </w:t>
      </w:r>
      <w:r>
        <w:rPr>
          <w:b/>
          <w:bCs/>
        </w:rPr>
        <w:t>entre dos y cuatro semanas</w:t>
      </w:r>
      <w:r>
        <w:rPr/>
        <w:t xml:space="preserve"> después del hecho. Por eso el semáforo pasó a 21 días.</w:t>
      </w:r>
    </w:p>
    <w:p>
      <w:pPr>
        <w:pStyle w:val="ListParagraph"/>
        <w:numPr>
          <w:ilvl w:val="0"/>
          <w:numId w:val="3"/>
        </w:numPr>
        <w:spacing w:before="0" w:after="60"/>
        <w:rPr/>
      </w:pPr>
      <w:r>
        <w:rPr/>
        <w:t>El autor hizo antes una simulación propia con los 5 hacktivistas verificados (los 4 de LulzSec e INC-020): 7 días, cobertura 10,2 % y 0 de 5; 14 días, 17,6 % y 1 de 5; 21 días, 23,3 % y 4 de 5 (razón 3,4); 30 días, 29,4 % y 5 de 5 (razón 3,4). La evaluación de la plataforma reproduce esos valores; las diferencias de una décima se deben a que el período llega a una fecha posterior.</w:t>
      </w:r>
    </w:p>
    <w:p>
      <w:pPr>
        <w:pStyle w:val="ListParagraph"/>
        <w:numPr>
          <w:ilvl w:val="0"/>
          <w:numId w:val="3"/>
        </w:numPr>
        <w:spacing w:before="0" w:after="60"/>
        <w:rPr/>
      </w:pPr>
      <w:r>
        <w:rPr>
          <w:b/>
          <w:bCs/>
        </w:rPr>
        <w:t>Límites de la validación:</w:t>
      </w:r>
      <w:r>
        <w:rPr/>
        <w:t xml:space="preserve"> los 4 ataques de LulzSec son de 2024, es decir, del tramo de calibración. En el tramo de validación </w:t>
      </w:r>
      <w:r>
        <w:rPr>
          <w:b/>
          <w:bCs/>
        </w:rPr>
        <w:t>no hay ningún ataque de LulzSec</w:t>
      </w:r>
      <w:r>
        <w:rPr/>
        <w:t xml:space="preserve">, de modo que la hipótesis no puede validarse todavía fuera de los datos con los que se ajustó. Además, el tamaño de la ventana (21 días) se eligió mirando todo el período, y los 16 hechos clave todavía </w:t>
      </w:r>
      <w:r>
        <w:rPr>
          <w:b/>
          <w:bCs/>
        </w:rPr>
        <w:t>no están verificados</w:t>
      </w:r>
      <w:r>
        <w:rPr/>
        <w:t xml:space="preserve"> por el autor: todo el resultado depende de esa lista.</w:t>
      </w:r>
    </w:p>
    <w:p>
      <w:pPr>
        <w:pStyle w:val="Normal"/>
        <w:pBdr>
          <w:left w:val="single" w:sz="18" w:space="8" w:color="2A78D6"/>
        </w:pBdr>
        <w:shd w:val="clear" w:fill="EAF1FB"/>
        <w:spacing w:before="120" w:after="160"/>
        <w:ind w:left="200" w:right="200"/>
        <w:rPr/>
      </w:pPr>
      <w:r>
        <w:rPr/>
        <w:t>Resultado indicativo con muy pocos casos (4 ataques de LulzSec verificados). Sirve para mostrar el método y su mejora frente a la regla automática, no para afirmar una relación causal.</w:t>
      </w:r>
    </w:p>
    <w:p>
      <w:pPr>
        <w:pStyle w:val="Heading2"/>
        <w:rPr/>
      </w:pPr>
      <w:bookmarkStart w:id="52" w:name="__RefHeading___Toc6052_3680603316"/>
      <w:bookmarkEnd w:id="52"/>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2" name="web_periodo_completo.png" descr="Figura 12&#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periodo_completo.png" descr="Figura 12&#10;Vista del período completo (agosto 2023 – hoy) con los incidentes cargados y la descarga de GDELT todavía en curso."/>
                    <pic:cNvPicPr>
                      <a:picLocks noChangeAspect="1" noChangeArrowheads="1"/>
                    </pic:cNvPicPr>
                  </pic:nvPicPr>
                  <pic:blipFill>
                    <a:blip r:embed="rId1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3" name="web_linea_caso.png" descr="Figura 13&#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linea_caso.png" descr="Figura 13&#10;Línea de tiempo del caso de estudio (ago 2023 – jul 2024): ventanas amarillas, períodos en rojo e incidentes cargados (rombos)."/>
                    <pic:cNvPicPr>
                      <a:picLocks noChangeAspect="1" noChangeArrowheads="1"/>
                    </pic:cNvPicPr>
                  </pic:nvPicPr>
                  <pic:blipFill>
                    <a:blip r:embed="rId14"/>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3" w:name="__RefHeading___Toc6054_3680603316"/>
      <w:bookmarkEnd w:id="53"/>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verificó 10 incidentes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Códigos asignados: INC-021 C3, INC-020 B2, INC-019 C4, INC-018 B2, INC-017 A1, INC-016 B4, INC-015 A1, INC-014 B3, INC-008 A1, INC-007 A1. Se marcaron como verificados y su confianza se derivó del código (decisión D30).</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'solo verificados' y depuración de duplicados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variante de la evaluación con los incidentes verificados. En el grupo detectado en noticias se cuenta un evento por día, porque cinco artículos italianos describían la misma filtración (D31). Se detectó un falso positivo del clasificador (detención por amenazas de bomba).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actualizados con más histórico de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127 tramos descargados (unos 28.000 artículos) los eventos geopolíticos pasaron de 199 a 691 y la cobertura de las ventanas aumentó. Con 21 días: hacktivistas razón 1,57 y cibercriminales 0,92 (todos); 1,38 para ambos (confianza media/alta); en 'solo verificados' hay un único incidente hacktivista, insuficiente para concluir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#4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primeros 10 incidentes verificados y la variante 'solo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incidentes hacktivistas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INC-002, INC-004 e INC-005: D3; INC-006: D2. INC-001 (Cyber Dragonz) e INC-003 (REM) descartados por no guardar relación con el Estado argentino (D33). Queda pendiente INC-022 (AFA).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incidentes verificados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ventana de 21 días: hacktivistas 4 de 5 dentro de ventanas (razón 2,20) frente a cibercriminales 1 de 6 (razón 0,46). Con 14 días: 1,23 frente a 0,51. Cuatro de los cinco hacktivistas verificados tienen fuentes de fiabilidad D: resultado indicativo, no concluyente.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descartado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descartó INC-022 (hackers de origen egipcio contra la AFA) por no guardar relación con el Estado argentino. Con esto quedan verificados todos los incidentes hacktivistas con fecha.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confirmado como descartado y recalibración postergada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confirmó que INC-022 (AFA, código B1) queda descartado por no guardar relación con el Estado argentino. Estado de la carga: 23 incidentes, 17 revisados por el autor (14 en uso y 3 descartados) y 6 sin revisar (INC-009 a INC-013 e INC-023), que solo cuentan en la variante 'todos'. Con la descarga de GDELT en 304 de 623 tramos, la cobertura de la ventana de 21 días llegó a 61,2 %. Una prueba con 3 a 6 fuentes por día como mínimo redujo la cobertura pero dejó afuera de la ventana de 7 días a la mayoría de los hacktivistas. Se decide esperar a que termine la descarga antes de recalibrar el umbral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Monitoreo de los canales públicos de Telegram (camino 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compartió tres espacios de Telegram: el canal de LulzSec Muslims, el de LulzSec Black y un grupo privado. Se decidió leer solo los dos canales públicos desde su vista web (sin cuenta), cada 6 horas. Los mensajes que mencionan a Argentina, un dominio .ar o la bandera y tienen una señal de ataque se toman como reclamos sin verificar y forman un grupo aparte en la evaluación (D34). La prueba real se hace desde GitHub Actions, porque el entorno de desarrollo no tiene acceso a Telegram.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real de Telegram desde GitHub</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Black se lee bien (49 mensajes del 27 al 30/10, ninguno sobre Argentina). LulzSec Muslims existe (título «LULZSEC MUSLIM'S») pero Telegram no ofrece su vista pública. El autor decidió dejarlo activo: figura como falla con el motivo y se leerá solo si algún día activan la vista pública.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centrada en LulzSec</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que la plataforma sea solo de LulzSec. Los ataques de otros actores dejan de mostrarse en la línea de tiempo, el semáforo y las alertas, pero se conservan como grupo de comparación de la evaluación (D36). Quedan 4 ataques de LulzSec verificados, todos de 2024.</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y ventana de 21 días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solo los hechos clave abren ventana (modo 'curado'); las noticias que antes eran detonantes se proponen como candidatos, una fila por día (261 días propuestos). La ventana pasa de 7 a 21 días. La evaluación compara los modos automático y curado con ventanas de 3 a 30 días, en tramos de calibración (2023-2024) y validación (2025-hoy) (D35).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Antes y después de los detonantes curados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período completo: con la regla automática (277 días detonantes) la ventana de 21 días cubría el 80,5 % de los días y LulzSec tenía razón 1,24. Con los 16 hechos clave curados la cobertura baja al 23,2 %, LulzSec queda 3 de 4 dentro (razón 3,24) y los cibercriminales 1 de 6 (razón 0,72). Coincide con la simulación del autor. Límite: no hay ataques de LulzSec en el tramo de validación y los hechos clave aún no están verificados.</w:t>
            </w:r>
          </w:p>
        </w:tc>
      </w:tr>
    </w:tbl>
    <w:p>
      <w:pPr>
        <w:pStyle w:val="Heading1"/>
        <w:rPr/>
      </w:pPr>
      <w:r>
        <w:br w:type="page"/>
      </w:r>
      <w:bookmarkStart w:id="54" w:name="__RefHeading___Toc6056_3680603316"/>
      <w:bookmarkEnd w:id="54"/>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50</w:t>
    </w:r>
    <w:r>
      <w:rPr/>
      <w:fldChar w:fldCharType="end"/>
    </w:r>
    <w:r>
      <w:rPr>
        <w:color w:val="8F8E86"/>
        <w:sz w:val="16"/>
        <w:szCs w:val="16"/>
      </w:rPr>
      <w:t xml:space="preserve"> · Versión 0.9 (30/10/2026)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50</w:t>
    </w:r>
    <w:r>
      <w:rPr/>
      <w:fldChar w:fldCharType="end"/>
    </w:r>
    <w:r>
      <w:rPr>
        <w:color w:val="8F8E86"/>
        <w:sz w:val="16"/>
        <w:szCs w:val="16"/>
      </w:rPr>
      <w:t xml:space="preserve"> · Versión 0.9 (30/10/2026)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20"/>
      <w:outlineLvl w:val="1"/>
    </w:pPr>
    <w:rPr>
      <w:rFonts w:ascii="Calibri" w:hAnsi="Calibri" w:eastAsia="Calibri" w:cs="Calibri"/>
      <w:b/>
      <w:bCs/>
      <w:color w:val="2E2E2B"/>
      <w:sz w:val="27"/>
      <w:szCs w:val="27"/>
    </w:rPr>
  </w:style>
  <w:style w:type="paragraph" w:styleId="Heading3">
    <w:name w:val="Heading 3"/>
    <w:basedOn w:val="Heading"/>
    <w:qFormat/>
    <w:pPr>
      <w:spacing w:before="200" w:after="100"/>
      <w:outlineLvl w:val="2"/>
    </w:pPr>
    <w:rPr>
      <w:rFonts w:ascii="Calibri" w:hAnsi="Calibri" w:eastAsia="Calibri" w:cs="Calibri"/>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50</Pages>
  <Words>15630</Words>
  <Characters>81282</Characters>
  <CharactersWithSpaces>95188</CharactersWithSpaces>
  <Paragraphs>1941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2026-10-30T23:51:43Z</dcterms:created>
  <dc:creator>TFM Máster CTI - KSchool</dc:creator>
  <dc:description/>
  <dc:language>en-US</dc:language>
  <cp:lastModifiedBy/>
  <dcterms:modified xsi:type="dcterms:W3CDTF">2026-10-30T23:51:46Z</dcterms:modified>
  <cp:revision>2</cp:revision>
  <dc:subject/>
  <dc:title>Memoria de trabajo del TFM - Monitor Ciber-Geopolítico Argentina</dc:title>
</cp:coreProperties>
</file>