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jc w:val="center"/>
        <w:rPr/>
      </w:pPr>
      <w:r>
        <w:rPr>
          <w:b/>
          <w:bCs/>
          <w:color w:val="52514E"/>
          <w:sz w:val="22"/>
          <w:szCs w:val="22"/>
        </w:rPr>
        <w:t>MÁSTER EN CYBER THREAT INTELLIGENCE · KSCHOOL</w:t>
      </w:r>
    </w:p>
    <w:p>
      <w:pPr>
        <w:pStyle w:val="Normal"/>
        <w:spacing w:before="400" w:after="200"/>
        <w:jc w:val="center"/>
        <w:rPr/>
      </w:pPr>
      <w:r>
        <w:rPr>
          <w:color w:val="52514E"/>
          <w:sz w:val="30"/>
          <w:szCs w:val="30"/>
        </w:rPr>
        <w:t>Memoria de trabajo del TFM</w:t>
      </w:r>
    </w:p>
    <w:p>
      <w:pPr>
        <w:pStyle w:val="Normal"/>
        <w:jc w:val="center"/>
        <w:rPr/>
      </w:pPr>
      <w:r>
        <w:rPr>
          <w:b/>
          <w:bCs/>
          <w:color w:val="1F4E79"/>
          <w:sz w:val="52"/>
          <w:szCs w:val="52"/>
        </w:rPr>
        <w:t>Monitor Ciber-Geopolítico · Argentina</w:t>
      </w:r>
    </w:p>
    <w:p>
      <w:pPr>
        <w:pStyle w:val="Normal"/>
        <w:spacing w:before="200" w:after="600"/>
        <w:jc w:val="center"/>
        <w:rPr/>
      </w:pPr>
      <w:r>
        <w:rPr>
          <w:i/>
          <w:iCs/>
          <w:sz w:val="26"/>
          <w:szCs w:val="26"/>
        </w:rPr>
        <w:t>Plataforma de alerta temprana que relaciona hechos geopolíticos con ciberataques hacktivistas contra Argentina</w:t>
      </w:r>
    </w:p>
    <w:p>
      <w:pPr>
        <w:pStyle w:val="Normal"/>
        <w:jc w:val="center"/>
        <w:rPr/>
      </w:pPr>
      <w:r>
        <w:rPr>
          <w:sz w:val="22"/>
          <w:szCs w:val="22"/>
        </w:rPr>
        <w:t>Caso de estudio: hacktivismo pro-Palestina tras el acercamiento de Argentina a Israel (agosto 2023 – julio 2024)</w:t>
      </w:r>
    </w:p>
    <w:p>
      <w:pPr>
        <w:pStyle w:val="Normal"/>
        <w:spacing w:before="1600" w:after="0"/>
        <w:rPr/>
      </w:pPr>
      <w:r>
        <w:rPr/>
      </w:r>
    </w:p>
    <w:p>
      <w:pPr>
        <w:pStyle w:val="Normal"/>
        <w:jc w:val="center"/>
        <w:rPr/>
      </w:pPr>
      <w:r>
        <w:rPr>
          <w:sz w:val="22"/>
          <w:szCs w:val="22"/>
        </w:rPr>
        <w:t>Autor: [completar nombre y apellido]</w:t>
      </w:r>
    </w:p>
    <w:p>
      <w:pPr>
        <w:pStyle w:val="Normal"/>
        <w:jc w:val="center"/>
        <w:rPr/>
      </w:pPr>
      <w:r>
        <w:rPr>
          <w:color w:val="52514E"/>
          <w:sz w:val="20"/>
          <w:szCs w:val="20"/>
        </w:rPr>
        <w:t>Repositorio: github.com/gastonaizama/Tfm  ·  Web: gastonaizama.github.io/Tfm</w:t>
      </w:r>
    </w:p>
    <w:p>
      <w:pPr>
        <w:pStyle w:val="Normal"/>
        <w:spacing w:before="200" w:after="0"/>
        <w:jc w:val="center"/>
        <w:rPr/>
      </w:pPr>
      <w:r>
        <w:rPr>
          <w:color w:val="52514E"/>
          <w:sz w:val="20"/>
          <w:szCs w:val="20"/>
        </w:rPr>
        <w:t>Versión 0.8 · 18/10/2026</w:t>
      </w:r>
    </w:p>
    <w:p>
      <w:pPr>
        <w:pStyle w:val="Normal"/>
        <w:rPr/>
      </w:pPr>
      <w:r>
        <w:rPr/>
      </w:r>
      <w:r>
        <w:br w:type="page"/>
      </w:r>
    </w:p>
    <w:p>
      <w:pPr>
        <w:pStyle w:val="Normal"/>
        <w:spacing w:before="0" w:after="200"/>
        <w:rPr/>
      </w:pPr>
      <w:r>
        <w:rPr>
          <w:b/>
          <w:bCs/>
          <w:color w:val="1F4E79"/>
          <w:sz w:val="34"/>
          <w:szCs w:val="34"/>
        </w:rPr>
        <w:t>Control de versiones</w:t>
      </w:r>
    </w:p>
    <w:p>
      <w:pPr>
        <w:pStyle w:val="Normal"/>
        <w:spacing w:lineRule="exact" w:line="290" w:before="0" w:after="120"/>
        <w:rPr/>
      </w:pPr>
      <w:r>
        <w:rPr/>
        <w:t>Esta memoria se genera automáticamente desde el repositorio del proyecto (</w:t>
      </w:r>
      <w:r>
        <w:rPr>
          <w:rFonts w:eastAsia="Consolas" w:cs="Consolas" w:ascii="Consolas" w:hAnsi="Consolas"/>
          <w:sz w:val="19"/>
          <w:szCs w:val="19"/>
        </w:rPr>
        <w:t>memoria/generar_memoria.js</w:t>
      </w:r>
      <w:r>
        <w:rPr/>
        <w:t>) y se actualiza con cada avance. La bitácora completa está en el Anexo A.</w:t>
      </w:r>
    </w:p>
    <w:tbl>
      <w:tblPr>
        <w:tblW w:w="9638" w:type="dxa"/>
        <w:jc w:val="left"/>
        <w:tblInd w:w="0" w:type="dxa"/>
        <w:tblLayout w:type="fixed"/>
        <w:tblCellMar>
          <w:top w:w="60" w:type="dxa"/>
          <w:left w:w="100" w:type="dxa"/>
          <w:bottom w:w="60" w:type="dxa"/>
          <w:right w:w="100" w:type="dxa"/>
        </w:tblCellMar>
      </w:tblPr>
      <w:tblGrid>
        <w:gridCol w:w="1099"/>
        <w:gridCol w:w="1401"/>
        <w:gridCol w:w="7138"/>
      </w:tblGrid>
      <w:tr>
        <w:trPr>
          <w:tblHeader w:val="true"/>
        </w:trPr>
        <w:tc>
          <w:tcPr>
            <w:tcW w:w="10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Versión</w:t>
            </w:r>
          </w:p>
        </w:tc>
        <w:tc>
          <w:tcPr>
            <w:tcW w:w="14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71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Cambios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0.1</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Versión inicial: documenta la Fase 1 completa (planificación, desarrollo, puesta en marcha y primeras mediciones).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0.2</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Búsqueda inicial de incidentes del caso de estudio (sección 5.4) con candidatos pendientes de validación por el autor.</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0.2</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Búsqueda inicial de incidentes candidatos (13) y propuesta metodológica de grupo de comparación (hacktivistas vs. cibercriminales).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0.3</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Carga de los 13 incidentes, columna de tipo de actor, evaluación del modelo con análisis de sensibilidad y extensión del período hasta la actualidad.</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0.4</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Segunda lista de candidatos (agosto 2024 – hoy): 8 hechos clave y 10 incidentes, pendientes de decisión del autor.</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0.5</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Carga de la segunda lista (8 hechos clave y 10 incidentes) y evaluación con filtro por confianza (análisis de robustez).</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0.6</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17/10/2026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Metodología de verificación (Código Almirantazgo, corroboración y evidencia técnica) y planilla de verificación para el autor.</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0.7</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Primeros 10 incidentes verificados por el autor (Código Almirantazgo), variante de evaluación 'solo verificados' y depuración de noticias duplicadas.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0.8</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71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de los incidentes hacktivistas: 4 verificados (fiabilidad D) y 2 descartados; resultados con la variante 'solo verificados'.</w:t>
            </w:r>
          </w:p>
        </w:tc>
      </w:tr>
    </w:tbl>
    <w:p>
      <w:pPr>
        <w:pStyle w:val="Normal"/>
        <w:spacing w:before="0" w:after="120"/>
        <w:rPr/>
      </w:pPr>
      <w:r>
        <w:rPr/>
      </w:r>
    </w:p>
    <w:p>
      <w:pPr>
        <w:pStyle w:val="Normal"/>
        <w:pBdr>
          <w:left w:val="single" w:sz="18" w:space="8" w:color="2A78D6"/>
        </w:pBdr>
        <w:shd w:val="clear" w:fill="EAF1FB"/>
        <w:spacing w:before="120" w:after="160"/>
        <w:ind w:left="200" w:right="200"/>
        <w:rPr/>
      </w:pPr>
      <w:r>
        <w:rPr>
          <w:b/>
          <w:bCs/>
        </w:rPr>
        <w:t>Cómo actualizar el índice en Word:</w:t>
      </w:r>
      <w:r>
        <w:rPr/>
        <w:t xml:space="preserve"> al abrir el documento, si Word pregunta si desea actualizar los campos, responda «Sí». También puede hacer clic derecho sobre el índice y elegir «Actualizar campos».</w:t>
      </w:r>
      <w:r>
        <w:br w:type="page"/>
      </w:r>
    </w:p>
    <w:p>
      <w:pPr>
        <w:pStyle w:val="Normal"/>
        <w:spacing w:before="240" w:after="200"/>
        <w:rPr/>
      </w:pPr>
      <w:r>
        <w:rPr>
          <w:b/>
          <w:bCs/>
          <w:color w:val="1F4E79"/>
          <w:sz w:val="34"/>
          <w:szCs w:val="34"/>
        </w:rPr>
        <w:t>Índice</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3123_1804765426">
            <w:r>
              <w:rPr>
                <w:rStyle w:val="IndexLink"/>
              </w:rPr>
              <w:t>1. Introducción</w:t>
              <w:tab/>
              <w:t>5</w:t>
            </w:r>
          </w:hyperlink>
        </w:p>
        <w:p>
          <w:pPr>
            <w:pStyle w:val="TOC2"/>
            <w:tabs>
              <w:tab w:val="clear" w:pos="9355"/>
              <w:tab w:val="right" w:pos="9637" w:leader="dot"/>
            </w:tabs>
            <w:rPr/>
          </w:pPr>
          <w:hyperlink w:anchor="__RefHeading___Toc3125_1804765426">
            <w:r>
              <w:rPr>
                <w:rStyle w:val="IndexLink"/>
              </w:rPr>
              <w:t>1.1. Contexto</w:t>
              <w:tab/>
              <w:t>5</w:t>
            </w:r>
          </w:hyperlink>
        </w:p>
        <w:p>
          <w:pPr>
            <w:pStyle w:val="TOC2"/>
            <w:tabs>
              <w:tab w:val="clear" w:pos="9355"/>
              <w:tab w:val="right" w:pos="9637" w:leader="dot"/>
            </w:tabs>
            <w:rPr/>
          </w:pPr>
          <w:hyperlink w:anchor="__RefHeading___Toc3127_1804765426">
            <w:r>
              <w:rPr>
                <w:rStyle w:val="IndexLink"/>
              </w:rPr>
              <w:t>1.2. Objetivos</w:t>
              <w:tab/>
              <w:t>5</w:t>
            </w:r>
          </w:hyperlink>
        </w:p>
        <w:p>
          <w:pPr>
            <w:pStyle w:val="TOC2"/>
            <w:tabs>
              <w:tab w:val="clear" w:pos="9355"/>
              <w:tab w:val="right" w:pos="9637" w:leader="dot"/>
            </w:tabs>
            <w:rPr/>
          </w:pPr>
          <w:hyperlink w:anchor="__RefHeading___Toc3129_1804765426">
            <w:r>
              <w:rPr>
                <w:rStyle w:val="IndexLink"/>
              </w:rPr>
              <w:t>1.3. Alcance de esta memoria</w:t>
              <w:tab/>
              <w:t>5</w:t>
            </w:r>
          </w:hyperlink>
        </w:p>
        <w:p>
          <w:pPr>
            <w:pStyle w:val="TOC1"/>
            <w:tabs>
              <w:tab w:val="clear" w:pos="9638"/>
              <w:tab w:val="right" w:pos="9637" w:leader="dot"/>
            </w:tabs>
            <w:rPr/>
          </w:pPr>
          <w:hyperlink w:anchor="__RefHeading___Toc3131_1804765426">
            <w:r>
              <w:rPr>
                <w:rStyle w:val="IndexLink"/>
              </w:rPr>
              <w:t>2. Metodología de trabajo</w:t>
              <w:tab/>
              <w:t>6</w:t>
            </w:r>
          </w:hyperlink>
        </w:p>
        <w:p>
          <w:pPr>
            <w:pStyle w:val="TOC2"/>
            <w:tabs>
              <w:tab w:val="clear" w:pos="9355"/>
              <w:tab w:val="right" w:pos="9637" w:leader="dot"/>
            </w:tabs>
            <w:rPr/>
          </w:pPr>
          <w:hyperlink w:anchor="__RefHeading___Toc3133_1804765426">
            <w:r>
              <w:rPr>
                <w:rStyle w:val="IndexLink"/>
              </w:rPr>
              <w:t>2.1. Enfoque</w:t>
              <w:tab/>
              <w:t>6</w:t>
            </w:r>
          </w:hyperlink>
        </w:p>
        <w:p>
          <w:pPr>
            <w:pStyle w:val="TOC2"/>
            <w:tabs>
              <w:tab w:val="clear" w:pos="9355"/>
              <w:tab w:val="right" w:pos="9637" w:leader="dot"/>
            </w:tabs>
            <w:rPr/>
          </w:pPr>
          <w:hyperlink w:anchor="__RefHeading___Toc3135_1804765426">
            <w:r>
              <w:rPr>
                <w:rStyle w:val="IndexLink"/>
              </w:rPr>
              <w:t>2.2. Desarrollo asistido por inteligencia artificial</w:t>
              <w:tab/>
              <w:t>6</w:t>
            </w:r>
          </w:hyperlink>
        </w:p>
        <w:p>
          <w:pPr>
            <w:pStyle w:val="TOC2"/>
            <w:tabs>
              <w:tab w:val="clear" w:pos="9355"/>
              <w:tab w:val="right" w:pos="9637" w:leader="dot"/>
            </w:tabs>
            <w:rPr/>
          </w:pPr>
          <w:hyperlink w:anchor="__RefHeading___Toc3137_1804765426">
            <w:r>
              <w:rPr>
                <w:rStyle w:val="IndexLink"/>
              </w:rPr>
              <w:t>2.3. Herramientas</w:t>
              <w:tab/>
              <w:t>6</w:t>
            </w:r>
          </w:hyperlink>
        </w:p>
        <w:p>
          <w:pPr>
            <w:pStyle w:val="TOC1"/>
            <w:tabs>
              <w:tab w:val="clear" w:pos="9638"/>
              <w:tab w:val="right" w:pos="9637" w:leader="dot"/>
            </w:tabs>
            <w:rPr/>
          </w:pPr>
          <w:hyperlink w:anchor="__RefHeading___Toc3139_1804765426">
            <w:r>
              <w:rPr>
                <w:rStyle w:val="IndexLink"/>
              </w:rPr>
              <w:t>3. Requisitos de la plataforma</w:t>
              <w:tab/>
              <w:t>7</w:t>
            </w:r>
          </w:hyperlink>
        </w:p>
        <w:p>
          <w:pPr>
            <w:pStyle w:val="TOC1"/>
            <w:tabs>
              <w:tab w:val="clear" w:pos="9638"/>
              <w:tab w:val="right" w:pos="9637" w:leader="dot"/>
            </w:tabs>
            <w:rPr/>
          </w:pPr>
          <w:hyperlink w:anchor="__RefHeading___Toc3141_1804765426">
            <w:r>
              <w:rPr>
                <w:rStyle w:val="IndexLink"/>
              </w:rPr>
              <w:t>4. Arquitectura</w:t>
              <w:tab/>
              <w:t>8</w:t>
            </w:r>
          </w:hyperlink>
        </w:p>
        <w:p>
          <w:pPr>
            <w:pStyle w:val="TOC2"/>
            <w:tabs>
              <w:tab w:val="clear" w:pos="9355"/>
              <w:tab w:val="right" w:pos="9637" w:leader="dot"/>
            </w:tabs>
            <w:rPr/>
          </w:pPr>
          <w:hyperlink w:anchor="__RefHeading___Toc3143_1804765426">
            <w:r>
              <w:rPr>
                <w:rStyle w:val="IndexLink"/>
              </w:rPr>
              <w:t>4.1. Organización del repositorio</w:t>
              <w:tab/>
              <w:t>8</w:t>
            </w:r>
          </w:hyperlink>
        </w:p>
        <w:p>
          <w:pPr>
            <w:pStyle w:val="TOC1"/>
            <w:tabs>
              <w:tab w:val="clear" w:pos="9638"/>
              <w:tab w:val="right" w:pos="9637" w:leader="dot"/>
            </w:tabs>
            <w:rPr/>
          </w:pPr>
          <w:hyperlink w:anchor="__RefHeading___Toc3145_1804765426">
            <w:r>
              <w:rPr>
                <w:rStyle w:val="IndexLink"/>
              </w:rPr>
              <w:t>5. Fuentes de datos</w:t>
              <w:tab/>
              <w:t>9</w:t>
            </w:r>
          </w:hyperlink>
        </w:p>
        <w:p>
          <w:pPr>
            <w:pStyle w:val="TOC2"/>
            <w:tabs>
              <w:tab w:val="clear" w:pos="9355"/>
              <w:tab w:val="right" w:pos="9637" w:leader="dot"/>
            </w:tabs>
            <w:rPr/>
          </w:pPr>
          <w:hyperlink w:anchor="__RefHeading___Toc3147_1804765426">
            <w:r>
              <w:rPr>
                <w:rStyle w:val="IndexLink"/>
              </w:rPr>
              <w:t>5.1. Validación de las fuentes</w:t>
              <w:tab/>
              <w:t>9</w:t>
            </w:r>
          </w:hyperlink>
        </w:p>
        <w:p>
          <w:pPr>
            <w:pStyle w:val="TOC2"/>
            <w:tabs>
              <w:tab w:val="clear" w:pos="9355"/>
              <w:tab w:val="right" w:pos="9637" w:leader="dot"/>
            </w:tabs>
            <w:rPr/>
          </w:pPr>
          <w:hyperlink w:anchor="__RefHeading___Toc3149_1804765426">
            <w:r>
              <w:rPr>
                <w:rStyle w:val="IndexLink"/>
              </w:rPr>
              <w:t>5.2. GDELT: el principal desafío técnico</w:t>
              <w:tab/>
              <w:t>9</w:t>
            </w:r>
          </w:hyperlink>
        </w:p>
        <w:p>
          <w:pPr>
            <w:pStyle w:val="TOC2"/>
            <w:tabs>
              <w:tab w:val="clear" w:pos="9355"/>
              <w:tab w:val="right" w:pos="9637" w:leader="dot"/>
            </w:tabs>
            <w:rPr/>
          </w:pPr>
          <w:hyperlink w:anchor="__RefHeading___Toc3151_1804765426">
            <w:r>
              <w:rPr>
                <w:rStyle w:val="IndexLink"/>
              </w:rPr>
              <w:t>5.3. Archivos de carga manual</w:t>
              <w:tab/>
              <w:t>9</w:t>
            </w:r>
          </w:hyperlink>
        </w:p>
        <w:p>
          <w:pPr>
            <w:pStyle w:val="TOC2"/>
            <w:tabs>
              <w:tab w:val="clear" w:pos="9355"/>
              <w:tab w:val="right" w:pos="9637" w:leader="dot"/>
            </w:tabs>
            <w:rPr/>
          </w:pPr>
          <w:hyperlink w:anchor="__RefHeading___Toc3153_1804765426">
            <w:r>
              <w:rPr>
                <w:rStyle w:val="IndexLink"/>
              </w:rPr>
              <w:t>5.4. Búsqueda inicial de incidentes (pendiente de validación)</w:t>
              <w:tab/>
              <w:t>10</w:t>
            </w:r>
          </w:hyperlink>
        </w:p>
        <w:p>
          <w:pPr>
            <w:pStyle w:val="TOC1"/>
            <w:tabs>
              <w:tab w:val="clear" w:pos="9638"/>
              <w:tab w:val="right" w:pos="9637" w:leader="dot"/>
            </w:tabs>
            <w:rPr/>
          </w:pPr>
          <w:hyperlink w:anchor="__RefHeading___Toc3155_1804765426">
            <w:r>
              <w:rPr>
                <w:rStyle w:val="IndexLink"/>
              </w:rPr>
              <w:t>6. Clasificación por reglas (Fase 1)</w:t>
              <w:tab/>
              <w:t>12</w:t>
            </w:r>
          </w:hyperlink>
        </w:p>
        <w:p>
          <w:pPr>
            <w:pStyle w:val="TOC2"/>
            <w:tabs>
              <w:tab w:val="clear" w:pos="9355"/>
              <w:tab w:val="right" w:pos="9637" w:leader="dot"/>
            </w:tabs>
            <w:rPr/>
          </w:pPr>
          <w:hyperlink w:anchor="__RefHeading___Toc3157_1804765426">
            <w:r>
              <w:rPr>
                <w:rStyle w:val="IndexLink"/>
              </w:rPr>
              <w:t>6.1. Noticias geopolíticas</w:t>
              <w:tab/>
              <w:t>12</w:t>
            </w:r>
          </w:hyperlink>
        </w:p>
        <w:p>
          <w:pPr>
            <w:pStyle w:val="TOC2"/>
            <w:tabs>
              <w:tab w:val="clear" w:pos="9355"/>
              <w:tab w:val="right" w:pos="9637" w:leader="dot"/>
            </w:tabs>
            <w:rPr/>
          </w:pPr>
          <w:hyperlink w:anchor="__RefHeading___Toc3159_1804765426">
            <w:r>
              <w:rPr>
                <w:rStyle w:val="IndexLink"/>
              </w:rPr>
              <w:t>6.2. Noticias de ataque</w:t>
              <w:tab/>
              <w:t>12</w:t>
            </w:r>
          </w:hyperlink>
        </w:p>
        <w:p>
          <w:pPr>
            <w:pStyle w:val="TOC2"/>
            <w:tabs>
              <w:tab w:val="clear" w:pos="9355"/>
              <w:tab w:val="right" w:pos="9637" w:leader="dot"/>
            </w:tabs>
            <w:rPr/>
          </w:pPr>
          <w:hyperlink w:anchor="__RefHeading___Toc3161_1804765426">
            <w:r>
              <w:rPr>
                <w:rStyle w:val="IndexLink"/>
              </w:rPr>
              <w:t>6.3. Mapeo a MITRE ATT&amp;CK</w:t>
              <w:tab/>
              <w:t>12</w:t>
            </w:r>
          </w:hyperlink>
        </w:p>
        <w:p>
          <w:pPr>
            <w:pStyle w:val="TOC1"/>
            <w:tabs>
              <w:tab w:val="clear" w:pos="9638"/>
              <w:tab w:val="right" w:pos="9637" w:leader="dot"/>
            </w:tabs>
            <w:rPr/>
          </w:pPr>
          <w:hyperlink w:anchor="__RefHeading___Toc3163_1804765426">
            <w:r>
              <w:rPr>
                <w:rStyle w:val="IndexLink"/>
              </w:rPr>
              <w:t>7. El semáforo de alertas</w:t>
              <w:tab/>
              <w:t>13</w:t>
            </w:r>
          </w:hyperlink>
        </w:p>
        <w:p>
          <w:pPr>
            <w:pStyle w:val="TOC2"/>
            <w:tabs>
              <w:tab w:val="clear" w:pos="9355"/>
              <w:tab w:val="right" w:pos="9637" w:leader="dot"/>
            </w:tabs>
            <w:rPr/>
          </w:pPr>
          <w:hyperlink w:anchor="__RefHeading___Toc3165_1804765426">
            <w:r>
              <w:rPr>
                <w:rStyle w:val="IndexLink"/>
              </w:rPr>
              <w:t>7.1. Reglas</w:t>
              <w:tab/>
              <w:t>13</w:t>
            </w:r>
          </w:hyperlink>
        </w:p>
        <w:p>
          <w:pPr>
            <w:pStyle w:val="TOC2"/>
            <w:tabs>
              <w:tab w:val="clear" w:pos="9355"/>
              <w:tab w:val="right" w:pos="9637" w:leader="dot"/>
            </w:tabs>
            <w:rPr/>
          </w:pPr>
          <w:hyperlink w:anchor="__RefHeading___Toc3167_1804765426">
            <w:r>
              <w:rPr>
                <w:rStyle w:val="IndexLink"/>
              </w:rPr>
              <w:t>7.2. Ejemplo</w:t>
              <w:tab/>
              <w:t>13</w:t>
            </w:r>
          </w:hyperlink>
        </w:p>
        <w:p>
          <w:pPr>
            <w:pStyle w:val="TOC2"/>
            <w:tabs>
              <w:tab w:val="clear" w:pos="9355"/>
              <w:tab w:val="right" w:pos="9637" w:leader="dot"/>
            </w:tabs>
            <w:rPr/>
          </w:pPr>
          <w:hyperlink w:anchor="__RefHeading___Toc3169_1804765426">
            <w:r>
              <w:rPr>
                <w:rStyle w:val="IndexLink"/>
              </w:rPr>
              <w:t>7.3. Parámetros configurables</w:t>
              <w:tab/>
              <w:t>13</w:t>
            </w:r>
          </w:hyperlink>
        </w:p>
        <w:p>
          <w:pPr>
            <w:pStyle w:val="TOC1"/>
            <w:tabs>
              <w:tab w:val="clear" w:pos="9638"/>
              <w:tab w:val="right" w:pos="9637" w:leader="dot"/>
            </w:tabs>
            <w:rPr/>
          </w:pPr>
          <w:hyperlink w:anchor="__RefHeading___Toc3171_1804765426">
            <w:r>
              <w:rPr>
                <w:rStyle w:val="IndexLink"/>
              </w:rPr>
              <w:t>8. La página web</w:t>
              <w:tab/>
              <w:t>14</w:t>
            </w:r>
          </w:hyperlink>
        </w:p>
        <w:p>
          <w:pPr>
            <w:pStyle w:val="TOC2"/>
            <w:tabs>
              <w:tab w:val="clear" w:pos="9355"/>
              <w:tab w:val="right" w:pos="9637" w:leader="dot"/>
            </w:tabs>
            <w:rPr/>
          </w:pPr>
          <w:hyperlink w:anchor="__RefHeading___Toc3173_1804765426">
            <w:r>
              <w:rPr>
                <w:rStyle w:val="IndexLink"/>
              </w:rPr>
              <w:t>8.1. Componentes</w:t>
              <w:tab/>
              <w:t>14</w:t>
            </w:r>
          </w:hyperlink>
        </w:p>
        <w:p>
          <w:pPr>
            <w:pStyle w:val="TOC1"/>
            <w:tabs>
              <w:tab w:val="clear" w:pos="9638"/>
              <w:tab w:val="right" w:pos="9637" w:leader="dot"/>
            </w:tabs>
            <w:rPr/>
          </w:pPr>
          <w:hyperlink w:anchor="__RefHeading___Toc3175_1804765426">
            <w:r>
              <w:rPr>
                <w:rStyle w:val="IndexLink"/>
              </w:rPr>
              <w:t>9. Automatización y puesta en marcha</w:t>
              <w:tab/>
              <w:t>18</w:t>
            </w:r>
          </w:hyperlink>
        </w:p>
        <w:p>
          <w:pPr>
            <w:pStyle w:val="TOC2"/>
            <w:tabs>
              <w:tab w:val="clear" w:pos="9355"/>
              <w:tab w:val="right" w:pos="9637" w:leader="dot"/>
            </w:tabs>
            <w:rPr/>
          </w:pPr>
          <w:hyperlink w:anchor="__RefHeading___Toc3177_1804765426">
            <w:r>
              <w:rPr>
                <w:rStyle w:val="IndexLink"/>
              </w:rPr>
              <w:t>9.1. Workflows de GitHub Actions</w:t>
              <w:tab/>
              <w:t>18</w:t>
            </w:r>
          </w:hyperlink>
        </w:p>
        <w:p>
          <w:pPr>
            <w:pStyle w:val="TOC2"/>
            <w:tabs>
              <w:tab w:val="clear" w:pos="9355"/>
              <w:tab w:val="right" w:pos="9637" w:leader="dot"/>
            </w:tabs>
            <w:rPr/>
          </w:pPr>
          <w:hyperlink w:anchor="__RefHeading___Toc3179_1804765426">
            <w:r>
              <w:rPr>
                <w:rStyle w:val="IndexLink"/>
              </w:rPr>
              <w:t>9.2. Configuración realizada por el autor</w:t>
              <w:tab/>
              <w:t>18</w:t>
            </w:r>
          </w:hyperlink>
        </w:p>
        <w:p>
          <w:pPr>
            <w:pStyle w:val="TOC2"/>
            <w:tabs>
              <w:tab w:val="clear" w:pos="9355"/>
              <w:tab w:val="right" w:pos="9637" w:leader="dot"/>
            </w:tabs>
            <w:rPr/>
          </w:pPr>
          <w:hyperlink w:anchor="__RefHeading___Toc3181_1804765426">
            <w:r>
              <w:rPr>
                <w:rStyle w:val="IndexLink"/>
              </w:rPr>
              <w:t>9.3. Flujo de cambios con Pull Requests</w:t>
              <w:tab/>
              <w:t>19</w:t>
            </w:r>
          </w:hyperlink>
        </w:p>
        <w:p>
          <w:pPr>
            <w:pStyle w:val="TOC1"/>
            <w:tabs>
              <w:tab w:val="clear" w:pos="9638"/>
              <w:tab w:val="right" w:pos="9637" w:leader="dot"/>
            </w:tabs>
            <w:rPr/>
          </w:pPr>
          <w:hyperlink w:anchor="__RefHeading___Toc3183_1804765426">
            <w:r>
              <w:rPr>
                <w:rStyle w:val="IndexLink"/>
              </w:rPr>
              <w:t>10. Pruebas y verificación</w:t>
              <w:tab/>
              <w:t>20</w:t>
            </w:r>
          </w:hyperlink>
        </w:p>
        <w:p>
          <w:pPr>
            <w:pStyle w:val="TOC2"/>
            <w:tabs>
              <w:tab w:val="clear" w:pos="9355"/>
              <w:tab w:val="right" w:pos="9637" w:leader="dot"/>
            </w:tabs>
            <w:rPr/>
          </w:pPr>
          <w:hyperlink w:anchor="__RefHeading___Toc3185_1804765426">
            <w:r>
              <w:rPr>
                <w:rStyle w:val="IndexLink"/>
              </w:rPr>
              <w:t>10.1. Pruebas automáticas</w:t>
              <w:tab/>
              <w:t>20</w:t>
            </w:r>
          </w:hyperlink>
        </w:p>
        <w:p>
          <w:pPr>
            <w:pStyle w:val="TOC2"/>
            <w:tabs>
              <w:tab w:val="clear" w:pos="9355"/>
              <w:tab w:val="right" w:pos="9637" w:leader="dot"/>
            </w:tabs>
            <w:rPr/>
          </w:pPr>
          <w:hyperlink w:anchor="__RefHeading___Toc3187_1804765426">
            <w:r>
              <w:rPr>
                <w:rStyle w:val="IndexLink"/>
              </w:rPr>
              <w:t>10.2. Verificaciones con datos reales</w:t>
              <w:tab/>
              <w:t>20</w:t>
            </w:r>
          </w:hyperlink>
        </w:p>
        <w:p>
          <w:pPr>
            <w:pStyle w:val="TOC1"/>
            <w:tabs>
              <w:tab w:val="clear" w:pos="9638"/>
              <w:tab w:val="right" w:pos="9637" w:leader="dot"/>
            </w:tabs>
            <w:rPr/>
          </w:pPr>
          <w:hyperlink w:anchor="__RefHeading___Toc3189_1804765426">
            <w:r>
              <w:rPr>
                <w:rStyle w:val="IndexLink"/>
              </w:rPr>
              <w:t>11. Problemas encontrados y soluciones</w:t>
              <w:tab/>
              <w:t>21</w:t>
            </w:r>
          </w:hyperlink>
        </w:p>
        <w:p>
          <w:pPr>
            <w:pStyle w:val="TOC1"/>
            <w:tabs>
              <w:tab w:val="clear" w:pos="9638"/>
              <w:tab w:val="right" w:pos="9637" w:leader="dot"/>
            </w:tabs>
            <w:rPr/>
          </w:pPr>
          <w:hyperlink w:anchor="__RefHeading___Toc3191_1804765426">
            <w:r>
              <w:rPr>
                <w:rStyle w:val="IndexLink"/>
              </w:rPr>
              <w:t>12. Decisiones técnicas</w:t>
              <w:tab/>
              <w:t>22</w:t>
            </w:r>
          </w:hyperlink>
        </w:p>
        <w:p>
          <w:pPr>
            <w:pStyle w:val="TOC1"/>
            <w:tabs>
              <w:tab w:val="clear" w:pos="9638"/>
              <w:tab w:val="right" w:pos="9637" w:leader="dot"/>
            </w:tabs>
            <w:rPr/>
          </w:pPr>
          <w:hyperlink w:anchor="__RefHeading___Toc3193_1804765426">
            <w:r>
              <w:rPr>
                <w:rStyle w:val="IndexLink"/>
              </w:rPr>
              <w:t>13. Estado actual y próximos pasos</w:t>
              <w:tab/>
              <w:t>23</w:t>
            </w:r>
          </w:hyperlink>
        </w:p>
        <w:p>
          <w:pPr>
            <w:pStyle w:val="TOC2"/>
            <w:tabs>
              <w:tab w:val="clear" w:pos="9355"/>
              <w:tab w:val="right" w:pos="9637" w:leader="dot"/>
            </w:tabs>
            <w:rPr/>
          </w:pPr>
          <w:hyperlink w:anchor="__RefHeading___Toc3195_1804765426">
            <w:r>
              <w:rPr>
                <w:rStyle w:val="IndexLink"/>
              </w:rPr>
              <w:t>13.1. Estado</w:t>
              <w:tab/>
              <w:t>23</w:t>
            </w:r>
          </w:hyperlink>
        </w:p>
        <w:p>
          <w:pPr>
            <w:pStyle w:val="TOC2"/>
            <w:tabs>
              <w:tab w:val="clear" w:pos="9355"/>
              <w:tab w:val="right" w:pos="9637" w:leader="dot"/>
            </w:tabs>
            <w:rPr/>
          </w:pPr>
          <w:hyperlink w:anchor="__RefHeading___Toc3197_1804765426">
            <w:r>
              <w:rPr>
                <w:rStyle w:val="IndexLink"/>
              </w:rPr>
              <w:t>13.2. Tareas pendientes del autor</w:t>
              <w:tab/>
              <w:t>23</w:t>
            </w:r>
          </w:hyperlink>
        </w:p>
        <w:p>
          <w:pPr>
            <w:pStyle w:val="TOC2"/>
            <w:tabs>
              <w:tab w:val="clear" w:pos="9355"/>
              <w:tab w:val="right" w:pos="9637" w:leader="dot"/>
            </w:tabs>
            <w:rPr/>
          </w:pPr>
          <w:hyperlink w:anchor="__RefHeading___Toc3199_1804765426">
            <w:r>
              <w:rPr>
                <w:rStyle w:val="IndexLink"/>
              </w:rPr>
              <w:t>13.3. Próximos pasos propuestos</w:t>
              <w:tab/>
              <w:t>23</w:t>
            </w:r>
          </w:hyperlink>
        </w:p>
        <w:p>
          <w:pPr>
            <w:pStyle w:val="TOC1"/>
            <w:tabs>
              <w:tab w:val="clear" w:pos="9638"/>
              <w:tab w:val="right" w:pos="9637" w:leader="dot"/>
            </w:tabs>
            <w:rPr/>
          </w:pPr>
          <w:hyperlink w:anchor="__RefHeading___Toc3201_1804765426">
            <w:r>
              <w:rPr>
                <w:rStyle w:val="IndexLink"/>
              </w:rPr>
              <w:t>14. Búsqueda de incidentes y diseño de la evaluación</w:t>
              <w:tab/>
              <w:t>24</w:t>
            </w:r>
          </w:hyperlink>
        </w:p>
        <w:p>
          <w:pPr>
            <w:pStyle w:val="TOC2"/>
            <w:tabs>
              <w:tab w:val="clear" w:pos="9355"/>
              <w:tab w:val="right" w:pos="9637" w:leader="dot"/>
            </w:tabs>
            <w:rPr/>
          </w:pPr>
          <w:hyperlink w:anchor="__RefHeading___Toc3203_1804765426">
            <w:r>
              <w:rPr>
                <w:rStyle w:val="IndexLink"/>
              </w:rPr>
              <w:t>14.1. Por qué hace falta cargar incidentes</w:t>
              <w:tab/>
              <w:t>24</w:t>
            </w:r>
          </w:hyperlink>
        </w:p>
        <w:p>
          <w:pPr>
            <w:pStyle w:val="TOC2"/>
            <w:tabs>
              <w:tab w:val="clear" w:pos="9355"/>
              <w:tab w:val="right" w:pos="9637" w:leader="dot"/>
            </w:tabs>
            <w:rPr/>
          </w:pPr>
          <w:hyperlink w:anchor="__RefHeading___Toc3205_1804765426">
            <w:r>
              <w:rPr>
                <w:rStyle w:val="IndexLink"/>
              </w:rPr>
              <w:t>14.2. Grupo de comparación</w:t>
              <w:tab/>
              <w:t>24</w:t>
            </w:r>
          </w:hyperlink>
        </w:p>
        <w:p>
          <w:pPr>
            <w:pStyle w:val="TOC2"/>
            <w:tabs>
              <w:tab w:val="clear" w:pos="9355"/>
              <w:tab w:val="right" w:pos="9637" w:leader="dot"/>
            </w:tabs>
            <w:rPr/>
          </w:pPr>
          <w:hyperlink w:anchor="__RefHeading___Toc3207_1804765426">
            <w:r>
              <w:rPr>
                <w:rStyle w:val="IndexLink"/>
              </w:rPr>
              <w:t>14.3. Incidentes cargados</w:t>
              <w:tab/>
              <w:t>24</w:t>
            </w:r>
          </w:hyperlink>
        </w:p>
        <w:p>
          <w:pPr>
            <w:pStyle w:val="TOC2"/>
            <w:tabs>
              <w:tab w:val="clear" w:pos="9355"/>
              <w:tab w:val="right" w:pos="9637" w:leader="dot"/>
            </w:tabs>
            <w:rPr/>
          </w:pPr>
          <w:hyperlink w:anchor="__RefHeading___Toc3209_1804765426">
            <w:r>
              <w:rPr>
                <w:rStyle w:val="IndexLink"/>
              </w:rPr>
              <w:t>14.4. Primeras observaciones</w:t>
              <w:tab/>
              <w:t>25</w:t>
            </w:r>
          </w:hyperlink>
        </w:p>
        <w:p>
          <w:pPr>
            <w:pStyle w:val="TOC2"/>
            <w:tabs>
              <w:tab w:val="clear" w:pos="9355"/>
              <w:tab w:val="right" w:pos="9637" w:leader="dot"/>
            </w:tabs>
            <w:rPr/>
          </w:pPr>
          <w:hyperlink w:anchor="__RefHeading___Toc3211_1804765426">
            <w:r>
              <w:rPr>
                <w:rStyle w:val="IndexLink"/>
              </w:rPr>
              <w:t>14.5. Segunda lista de candidatos (agosto 2024 – hoy)</w:t>
              <w:tab/>
              <w:t>25</w:t>
            </w:r>
          </w:hyperlink>
        </w:p>
        <w:p>
          <w:pPr>
            <w:pStyle w:val="TOC2"/>
            <w:tabs>
              <w:tab w:val="clear" w:pos="9355"/>
              <w:tab w:val="right" w:pos="9637" w:leader="dot"/>
            </w:tabs>
            <w:rPr/>
          </w:pPr>
          <w:hyperlink w:anchor="__RefHeading___Toc3213_1804765426">
            <w:r>
              <w:rPr>
                <w:rStyle w:val="IndexLink"/>
              </w:rPr>
              <w:t>14.6. Metodología de verificación</w:t>
              <w:tab/>
              <w:t>26</w:t>
            </w:r>
          </w:hyperlink>
        </w:p>
        <w:p>
          <w:pPr>
            <w:pStyle w:val="TOC1"/>
            <w:tabs>
              <w:tab w:val="clear" w:pos="9638"/>
              <w:tab w:val="right" w:pos="9637" w:leader="dot"/>
            </w:tabs>
            <w:rPr/>
          </w:pPr>
          <w:hyperlink w:anchor="__RefHeading___Toc3215_1804765426">
            <w:r>
              <w:rPr>
                <w:rStyle w:val="IndexLink"/>
              </w:rPr>
              <w:t>15. Evaluación del modelo</w:t>
              <w:tab/>
              <w:t>27</w:t>
            </w:r>
          </w:hyperlink>
        </w:p>
        <w:p>
          <w:pPr>
            <w:pStyle w:val="TOC2"/>
            <w:tabs>
              <w:tab w:val="clear" w:pos="9355"/>
              <w:tab w:val="right" w:pos="9637" w:leader="dot"/>
            </w:tabs>
            <w:rPr/>
          </w:pPr>
          <w:hyperlink w:anchor="__RefHeading___Toc3217_1804765426">
            <w:r>
              <w:rPr>
                <w:rStyle w:val="IndexLink"/>
              </w:rPr>
              <w:t>15.1. Método</w:t>
              <w:tab/>
              <w:t>27</w:t>
            </w:r>
          </w:hyperlink>
        </w:p>
        <w:p>
          <w:pPr>
            <w:pStyle w:val="TOC2"/>
            <w:tabs>
              <w:tab w:val="clear" w:pos="9355"/>
              <w:tab w:val="right" w:pos="9637" w:leader="dot"/>
            </w:tabs>
            <w:rPr/>
          </w:pPr>
          <w:hyperlink w:anchor="__RefHeading___Toc3219_1804765426">
            <w:r>
              <w:rPr>
                <w:rStyle w:val="IndexLink"/>
              </w:rPr>
              <w:t>15.2. Resultados preliminares</w:t>
              <w:tab/>
              <w:t>27</w:t>
            </w:r>
          </w:hyperlink>
        </w:p>
        <w:p>
          <w:pPr>
            <w:pStyle w:val="TOC2"/>
            <w:tabs>
              <w:tab w:val="clear" w:pos="9355"/>
              <w:tab w:val="right" w:pos="9637" w:leader="dot"/>
            </w:tabs>
            <w:rPr/>
          </w:pPr>
          <w:hyperlink w:anchor="__RefHeading___Toc3221_1804765426">
            <w:r>
              <w:rPr>
                <w:rStyle w:val="IndexLink"/>
              </w:rPr>
              <w:t>15.3. Lectura de los resultados</w:t>
              <w:tab/>
              <w:t>28</w:t>
            </w:r>
          </w:hyperlink>
        </w:p>
        <w:p>
          <w:pPr>
            <w:pStyle w:val="TOC2"/>
            <w:tabs>
              <w:tab w:val="clear" w:pos="9355"/>
              <w:tab w:val="right" w:pos="9637" w:leader="dot"/>
            </w:tabs>
            <w:rPr/>
          </w:pPr>
          <w:hyperlink w:anchor="__RefHeading___Toc3223_1804765426">
            <w:r>
              <w:rPr>
                <w:rStyle w:val="IndexLink"/>
              </w:rPr>
              <w:t>15.4. Extensión del período hasta la actualidad</w:t>
              <w:tab/>
              <w:t>29</w:t>
            </w:r>
          </w:hyperlink>
        </w:p>
        <w:p>
          <w:pPr>
            <w:pStyle w:val="TOC1"/>
            <w:tabs>
              <w:tab w:val="clear" w:pos="9638"/>
              <w:tab w:val="right" w:pos="9637" w:leader="dot"/>
            </w:tabs>
            <w:rPr/>
          </w:pPr>
          <w:hyperlink w:anchor="__RefHeading___Toc3225_1804765426">
            <w:r>
              <w:rPr>
                <w:rStyle w:val="IndexLink"/>
              </w:rPr>
              <w:t>Anexo A. Bitácora del proyecto</w:t>
              <w:tab/>
              <w:t>31</w:t>
            </w:r>
          </w:hyperlink>
        </w:p>
        <w:p>
          <w:pPr>
            <w:pStyle w:val="TOC1"/>
            <w:tabs>
              <w:tab w:val="clear" w:pos="9638"/>
              <w:tab w:val="right" w:pos="9637" w:leader="dot"/>
            </w:tabs>
            <w:rPr/>
          </w:pPr>
          <w:hyperlink w:anchor="__RefHeading___Toc3227_1804765426">
            <w:r>
              <w:rPr>
                <w:rStyle w:val="IndexLink"/>
              </w:rPr>
              <w:t>Anexo B. Glosario</w:t>
              <w:tab/>
              <w:t>35</w:t>
            </w:r>
          </w:hyperlink>
          <w:r>
            <w:rPr>
              <w:rStyle w:val="IndexLink"/>
            </w:rPr>
            <w:fldChar w:fldCharType="end"/>
          </w:r>
        </w:p>
      </w:sdtContent>
    </w:sdt>
    <w:p>
      <w:pPr>
        <w:pStyle w:val="Normal"/>
        <w:rPr/>
      </w:pPr>
      <w:r>
        <w:rPr/>
      </w:r>
      <w:r>
        <w:br w:type="page"/>
      </w:r>
    </w:p>
    <w:p>
      <w:pPr>
        <w:pStyle w:val="Heading1"/>
        <w:rPr/>
      </w:pPr>
      <w:bookmarkStart w:id="0" w:name="__RefHeading___Toc3123_1804765426"/>
      <w:bookmarkEnd w:id="0"/>
      <w:r>
        <w:rPr/>
        <w:t>1. Introducción</w:t>
      </w:r>
    </w:p>
    <w:p>
      <w:pPr>
        <w:pStyle w:val="Heading2"/>
        <w:rPr/>
      </w:pPr>
      <w:bookmarkStart w:id="1" w:name="__RefHeading___Toc3125_1804765426"/>
      <w:bookmarkEnd w:id="1"/>
      <w:r>
        <w:rPr/>
        <w:t>1.1. Contexto</w:t>
      </w:r>
    </w:p>
    <w:p>
      <w:pPr>
        <w:pStyle w:val="Normal"/>
        <w:spacing w:lineRule="exact" w:line="290" w:before="0" w:after="120"/>
        <w:rPr/>
      </w:pPr>
      <w:r>
        <w:rPr/>
        <w:t>A partir de 2023, el gobierno argentino profundizó su alineamiento con Israel: el presidente electo anunció su intención de trasladar la embajada a Jerusalén, viajó a Israel en febrero de 2024 y, en paralelo, la justicia argentina atribuyó a Irán la responsabilidad por el atentado a la AMIA. En ese mismo período, distintos grupos hacktivistas pro-Palestina reivindicaron ataques contra sitios y organismos argentinos.</w:t>
      </w:r>
    </w:p>
    <w:p>
      <w:pPr>
        <w:pStyle w:val="Normal"/>
        <w:spacing w:lineRule="exact" w:line="290" w:before="0" w:after="120"/>
        <w:rPr/>
      </w:pPr>
      <w:r>
        <w:rPr/>
        <w:t xml:space="preserve">La hipótesis de trabajo es que </w:t>
      </w:r>
      <w:r>
        <w:rPr>
          <w:b/>
          <w:bCs/>
        </w:rPr>
        <w:t>los hechos geopolíticos funcionan como detonantes</w:t>
      </w:r>
      <w:r>
        <w:rPr/>
        <w:t xml:space="preserve">: tras ellos, durante algunos días, aumenta la probabilidad de ataques hacktivistas contra objetivos argentinos. Si esto es así, monitorear la agenda geopolítica permite emitir </w:t>
      </w:r>
      <w:r>
        <w:rPr>
          <w:b/>
          <w:bCs/>
        </w:rPr>
        <w:t>alertas tempranas</w:t>
      </w:r>
      <w:r>
        <w:rPr/>
        <w:t xml:space="preserve"> antes de que los ataques ocurran.</w:t>
      </w:r>
    </w:p>
    <w:p>
      <w:pPr>
        <w:pStyle w:val="Heading2"/>
        <w:rPr/>
      </w:pPr>
      <w:bookmarkStart w:id="2" w:name="__RefHeading___Toc3127_1804765426"/>
      <w:bookmarkEnd w:id="2"/>
      <w:r>
        <w:rPr/>
        <w:t>1.2. Objetivos</w:t>
      </w:r>
    </w:p>
    <w:p>
      <w:pPr>
        <w:pStyle w:val="ListParagraph"/>
        <w:numPr>
          <w:ilvl w:val="0"/>
          <w:numId w:val="9"/>
        </w:numPr>
        <w:spacing w:before="0" w:after="60"/>
        <w:rPr/>
      </w:pPr>
      <w:r>
        <w:rPr/>
        <w:t>Construir una plataforma web, pública y gratuita, que monitoree de forma automática noticias y feeds de ciberseguridad y geopolítica.</w:t>
      </w:r>
    </w:p>
    <w:p>
      <w:pPr>
        <w:pStyle w:val="ListParagraph"/>
        <w:numPr>
          <w:ilvl w:val="0"/>
          <w:numId w:val="1"/>
        </w:numPr>
        <w:spacing w:before="0" w:after="60"/>
        <w:rPr/>
      </w:pPr>
      <w:r>
        <w:rPr/>
        <w:t>Detectar hechos geopolíticos detonantes y ataques contra objetivos argentinos mediante reglas de palabras clave (Fase 1).</w:t>
      </w:r>
    </w:p>
    <w:p>
      <w:pPr>
        <w:pStyle w:val="ListParagraph"/>
        <w:numPr>
          <w:ilvl w:val="0"/>
          <w:numId w:val="1"/>
        </w:numPr>
        <w:spacing w:before="0" w:after="60"/>
        <w:rPr/>
      </w:pPr>
      <w:r>
        <w:rPr/>
        <w:t>Emitir un semáforo de riesgo (verde, amarillo, rojo) con una ventana de vigilancia configurable.</w:t>
      </w:r>
    </w:p>
    <w:p>
      <w:pPr>
        <w:pStyle w:val="ListParagraph"/>
        <w:numPr>
          <w:ilvl w:val="0"/>
          <w:numId w:val="1"/>
        </w:numPr>
        <w:spacing w:before="0" w:after="60"/>
        <w:rPr/>
      </w:pPr>
      <w:r>
        <w:rPr/>
        <w:t>Reconstruir el período de estudio (agosto 2023 – julio 2024) en un modo histórico para evaluar la hipótesis.</w:t>
      </w:r>
    </w:p>
    <w:p>
      <w:pPr>
        <w:pStyle w:val="ListParagraph"/>
        <w:numPr>
          <w:ilvl w:val="0"/>
          <w:numId w:val="1"/>
        </w:numPr>
        <w:spacing w:before="0" w:after="60"/>
        <w:rPr/>
      </w:pPr>
      <w:r>
        <w:rPr/>
        <w:t>Clasificar los ataques según la matriz MITRE ATT&amp;CK.</w:t>
      </w:r>
    </w:p>
    <w:p>
      <w:pPr>
        <w:pStyle w:val="ListParagraph"/>
        <w:numPr>
          <w:ilvl w:val="0"/>
          <w:numId w:val="1"/>
        </w:numPr>
        <w:spacing w:before="0" w:after="60"/>
        <w:rPr/>
      </w:pPr>
      <w:r>
        <w:rPr/>
        <w:t>Dejar preparada la integración con inteligencia artificial (Fase 2: Claude Haiku 5.5 para clasificar y Claude Sonnet 5.5 para redactar informes).</w:t>
      </w:r>
    </w:p>
    <w:p>
      <w:pPr>
        <w:pStyle w:val="Heading2"/>
        <w:rPr/>
      </w:pPr>
      <w:bookmarkStart w:id="3" w:name="__RefHeading___Toc3129_1804765426"/>
      <w:bookmarkEnd w:id="3"/>
      <w:r>
        <w:rPr/>
        <w:t>1.3. Alcance de esta memoria</w:t>
      </w:r>
    </w:p>
    <w:p>
      <w:pPr>
        <w:pStyle w:val="Normal"/>
        <w:spacing w:lineRule="exact" w:line="290" w:before="0" w:after="120"/>
        <w:rPr/>
      </w:pPr>
      <w:r>
        <w:rPr/>
        <w:t xml:space="preserve">Este documento registra </w:t>
      </w:r>
      <w:r>
        <w:rPr>
          <w:b/>
          <w:bCs/>
        </w:rPr>
        <w:t>todo el trabajo realizado</w:t>
      </w:r>
      <w:r>
        <w:rPr/>
        <w:t>: requisitos, decisiones, desarrollo, problemas encontrados y cómo se resolvieron, pruebas y estado actual. Está pensado como base para redactar la memoria final del TFM y como evidencia del proceso.</w:t>
      </w:r>
      <w:r>
        <w:br w:type="page"/>
      </w:r>
    </w:p>
    <w:p>
      <w:pPr>
        <w:pStyle w:val="Heading1"/>
        <w:rPr/>
      </w:pPr>
      <w:bookmarkStart w:id="4" w:name="__RefHeading___Toc3131_1804765426"/>
      <w:bookmarkEnd w:id="4"/>
      <w:r>
        <w:rPr/>
        <w:t>2. Metodología de trabajo</w:t>
      </w:r>
    </w:p>
    <w:p>
      <w:pPr>
        <w:pStyle w:val="Heading2"/>
        <w:rPr/>
      </w:pPr>
      <w:bookmarkStart w:id="5" w:name="__RefHeading___Toc3133_1804765426"/>
      <w:bookmarkEnd w:id="5"/>
      <w:r>
        <w:rPr/>
        <w:t>2.1. Enfoque</w:t>
      </w:r>
    </w:p>
    <w:p>
      <w:pPr>
        <w:pStyle w:val="Normal"/>
        <w:spacing w:lineRule="exact" w:line="290" w:before="0" w:after="120"/>
        <w:rPr/>
      </w:pPr>
      <w:r>
        <w:rPr/>
        <w:t xml:space="preserve">El proyecto se desarrolló con un enfoque </w:t>
      </w:r>
      <w:r>
        <w:rPr>
          <w:b/>
          <w:bCs/>
        </w:rPr>
        <w:t>iterativo y verificable</w:t>
      </w:r>
      <w:r>
        <w:rPr/>
        <w:t>: cada componente se construyó, se probó con datos reales en el mismo entorno donde funciona la plataforma (GitHub Actions) y se ajustó según los resultados medidos.</w:t>
      </w:r>
    </w:p>
    <w:p>
      <w:pPr>
        <w:pStyle w:val="Heading2"/>
        <w:rPr/>
      </w:pPr>
      <w:bookmarkStart w:id="6" w:name="__RefHeading___Toc3135_1804765426"/>
      <w:bookmarkEnd w:id="6"/>
      <w:r>
        <w:rPr/>
        <w:t>2.2. Desarrollo asistido por inteligencia artificial</w:t>
      </w:r>
    </w:p>
    <w:p>
      <w:pPr>
        <w:pStyle w:val="Normal"/>
        <w:spacing w:lineRule="exact" w:line="290" w:before="0" w:after="120"/>
        <w:rPr/>
      </w:pPr>
      <w:r>
        <w:rPr/>
        <w:t xml:space="preserve">El autor no tiene formación previa en programación. El desarrollo se realizó con </w:t>
      </w:r>
      <w:r>
        <w:rPr>
          <w:b/>
          <w:bCs/>
        </w:rPr>
        <w:t>Claude Code</w:t>
      </w:r>
      <w:r>
        <w:rPr/>
        <w:t xml:space="preserve"> (asistente de programación de Anthropic) ejecutándose en un entorno en la nube, de modo que </w:t>
      </w:r>
      <w:r>
        <w:rPr>
          <w:b/>
          <w:bCs/>
        </w:rPr>
        <w:t>no fue necesario instalar nada</w:t>
      </w:r>
      <w:r>
        <w:rPr/>
        <w:t xml:space="preserve"> en la computadora del autor. La división de roles fue la siguiente:</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trPr>
        <w:tc>
          <w:tcPr>
            <w:tcW w:w="23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Rol</w:t>
            </w:r>
          </w:p>
        </w:tc>
        <w:tc>
          <w:tcPr>
            <w:tcW w:w="72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Responsabilidades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Autor (analista)</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Definir requisitos y caso de estudio; aprobar el plan; tomar decisiones; configurar GitHub (permisos, Pages, rama principal); revisar y aprobar cambios (Pull Requests); investigar y cargar incidentes y hechos clave.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Asistente (Claude Code)</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Proponer el plan; escribir el código, las pruebas y la documentación; ejecutar verificaciones en GitHub Actions; diagnosticar problemas; explicar cada paso en lenguaje simple.</w:t>
            </w:r>
          </w:p>
        </w:tc>
      </w:tr>
    </w:tbl>
    <w:p>
      <w:pPr>
        <w:pStyle w:val="Normal"/>
        <w:spacing w:before="0" w:after="120"/>
        <w:rPr/>
      </w:pPr>
      <w:r>
        <w:rPr/>
      </w:r>
    </w:p>
    <w:p>
      <w:pPr>
        <w:pStyle w:val="Normal"/>
        <w:spacing w:lineRule="exact" w:line="290" w:before="0" w:after="120"/>
        <w:rPr/>
      </w:pPr>
      <w:r>
        <w:rPr/>
        <w:t xml:space="preserve">Toda acción con efectos externos (crear ramas, abrir Pull Requests, cambiar configuraciones) se realizó </w:t>
      </w:r>
      <w:r>
        <w:rPr>
          <w:b/>
          <w:bCs/>
        </w:rPr>
        <w:t>con autorización explícita del autor</w:t>
      </w:r>
      <w:r>
        <w:rPr/>
        <w:t>.</w:t>
      </w:r>
    </w:p>
    <w:p>
      <w:pPr>
        <w:pStyle w:val="Heading2"/>
        <w:rPr/>
      </w:pPr>
      <w:bookmarkStart w:id="7" w:name="__RefHeading___Toc3137_1804765426"/>
      <w:bookmarkEnd w:id="7"/>
      <w:r>
        <w:rPr/>
        <w:t>2.3. Herramientas</w:t>
      </w:r>
    </w:p>
    <w:tbl>
      <w:tblPr>
        <w:tblW w:w="9638" w:type="dxa"/>
        <w:jc w:val="left"/>
        <w:tblInd w:w="0" w:type="dxa"/>
        <w:tblLayout w:type="fixed"/>
        <w:tblCellMar>
          <w:top w:w="60" w:type="dxa"/>
          <w:left w:w="100" w:type="dxa"/>
          <w:bottom w:w="60" w:type="dxa"/>
          <w:right w:w="100" w:type="dxa"/>
        </w:tblCellMar>
      </w:tblPr>
      <w:tblGrid>
        <w:gridCol w:w="2799"/>
        <w:gridCol w:w="6838"/>
      </w:tblGrid>
      <w:tr>
        <w:trPr>
          <w:tblHeader w:val="true"/>
        </w:trPr>
        <w:tc>
          <w:tcPr>
            <w:tcW w:w="27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Herramienta</w:t>
            </w:r>
          </w:p>
        </w:tc>
        <w:tc>
          <w:tcPr>
            <w:tcW w:w="68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Uso en el proyecto</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(repositorio público)</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Código, datos, documentación e historial de cambios. Forma parte del portfolio del autor.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Actions</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Ejecuta automáticamente la recolección y el análisis (cada 6 horas) y la descarga del histórico (cada hora).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Pages</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Publica la página web: https://gastonaizama.github.io/Tfm/</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Python 3.12</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Lenguaje del programa de monitoreo (librerías: requests y feedparser).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HTML, CSS y JavaScript</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Página web sin librerías externas.</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Claude Code</w:t>
            </w:r>
          </w:p>
        </w:tc>
        <w:tc>
          <w:tcPr>
            <w:tcW w:w="68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Asistente de desarrollo (ver 2.2).</w:t>
            </w:r>
          </w:p>
        </w:tc>
      </w:tr>
    </w:tbl>
    <w:p>
      <w:pPr>
        <w:pStyle w:val="Heading1"/>
        <w:rPr/>
      </w:pPr>
      <w:r>
        <w:br w:type="page"/>
      </w:r>
      <w:bookmarkStart w:id="8" w:name="__RefHeading___Toc3139_1804765426"/>
      <w:bookmarkEnd w:id="8"/>
      <w:r>
        <w:rPr/>
        <w:t>3. Requisitos de la plataforma</w:t>
      </w:r>
    </w:p>
    <w:p>
      <w:pPr>
        <w:pStyle w:val="Normal"/>
        <w:spacing w:lineRule="exact" w:line="290" w:before="0" w:after="120"/>
        <w:rPr/>
      </w:pPr>
      <w:r>
        <w:rPr/>
        <w:t>Los requisitos fueron definidos por el autor al inicio del proyecto:</w:t>
      </w:r>
    </w:p>
    <w:tbl>
      <w:tblPr>
        <w:tblW w:w="9638" w:type="dxa"/>
        <w:jc w:val="left"/>
        <w:tblInd w:w="0" w:type="dxa"/>
        <w:tblLayout w:type="fixed"/>
        <w:tblCellMar>
          <w:top w:w="60" w:type="dxa"/>
          <w:left w:w="100" w:type="dxa"/>
          <w:bottom w:w="60" w:type="dxa"/>
          <w:right w:w="100" w:type="dxa"/>
        </w:tblCellMar>
      </w:tblPr>
      <w:tblGrid>
        <w:gridCol w:w="2600"/>
        <w:gridCol w:w="7037"/>
      </w:tblGrid>
      <w:tr>
        <w:trPr>
          <w:tblHeader w:val="true"/>
        </w:trPr>
        <w:tc>
          <w:tcPr>
            <w:tcW w:w="26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Área</w:t>
            </w:r>
          </w:p>
        </w:tc>
        <w:tc>
          <w:tcPr>
            <w:tcW w:w="7037"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Requisito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Tecnología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Repositorio público en GitHub; GitHub Actions cada 6 horas; publicación con GitHub Pages; sin instalaciones locales.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Fuentes</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GDELT (API de documentos, con historial); RSS de The Record, BleepingComputer, The Hacker News, WeLiveSecurity (ESET), Infobae y La Nación; MITRE ATT&amp;CK.</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Palabras clave geopolíticas</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Argentina junto con Israel, Palestina, Hamás, Irán, embajada, AMIA, ONU.</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Palabras clave cibernéticas</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hackeo, filtración de datos, ataque a sitio web, sitio caído, hacktivistas, gob.ar, Cyber Dragonz, LulzSec Muslims, REM.</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Semáforo</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Verde: sin detonantes. Amarillo: hecho detonante, ventana de 7 días (configurable). Rojo: ataques contra objetivos argentinos dentro de la ventana.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Pantalla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Una sola página: semáforo arriba, línea de tiempo con dos carriles en el centro, lista de alertas abajo, selector de fechas (vivo / histórico).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Modo histórico</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Agosto 2023 – julio 2024 con GDELT + archivo de incidentes cargados a mano.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Fases</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Fase 1 sin IA (reglas). Fase 2: Claude Haiku 5.5 clasifica y Claude Sonnet 5.5 redacta un informe solo con alerta; API key como secreto de GitHub.</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Documentación</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README en español (anexo del TFM) y registro de decisiones técnicas.</w:t>
            </w:r>
          </w:p>
        </w:tc>
      </w:tr>
    </w:tbl>
    <w:p>
      <w:pPr>
        <w:pStyle w:val="Heading1"/>
        <w:rPr/>
      </w:pPr>
      <w:r>
        <w:br w:type="page"/>
      </w:r>
      <w:bookmarkStart w:id="9" w:name="__RefHeading___Toc3141_1804765426"/>
      <w:bookmarkEnd w:id="9"/>
      <w:r>
        <w:rPr/>
        <w:t>4. Arquitectura</w:t>
      </w:r>
    </w:p>
    <w:p>
      <w:pPr>
        <w:pStyle w:val="Normal"/>
        <w:spacing w:lineRule="exact" w:line="290" w:before="0" w:after="120"/>
        <w:rPr/>
      </w:pPr>
      <w:r>
        <w:rPr/>
        <w:t>La plataforma no usa servidores ni bases de datos propias. Todo funciona sobre servicios gratuitos de GitHub:</w:t>
      </w:r>
    </w:p>
    <w:p>
      <w:pPr>
        <w:pStyle w:val="Normal"/>
        <w:keepNext w:val="true"/>
        <w:spacing w:before="120" w:after="60"/>
        <w:jc w:val="center"/>
        <w:rPr/>
      </w:pPr>
      <w:r>
        <w:rPr/>
        <w:drawing>
          <wp:inline distT="0" distB="0" distL="0" distR="0">
            <wp:extent cx="5715000" cy="3324225"/>
            <wp:effectExtent l="0" t="0" r="0" b="0"/>
            <wp:docPr id="1" name="arquitectura.png" descr="Figura 1&#10;Arquitectura general de la plataforma en la F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quitectura.png" descr="Figura 1&#10;Arquitectura general de la plataforma en la Fase 1."/>
                    <pic:cNvPicPr>
                      <a:picLocks noChangeAspect="1" noChangeArrowheads="1"/>
                    </pic:cNvPicPr>
                  </pic:nvPicPr>
                  <pic:blipFill>
                    <a:blip r:embed="rId2"/>
                    <a:stretch>
                      <a:fillRect/>
                    </a:stretch>
                  </pic:blipFill>
                  <pic:spPr bwMode="auto">
                    <a:xfrm>
                      <a:off x="0" y="0"/>
                      <a:ext cx="5715000" cy="3324225"/>
                    </a:xfrm>
                    <a:prstGeom prst="rect">
                      <a:avLst/>
                    </a:prstGeom>
                  </pic:spPr>
                </pic:pic>
              </a:graphicData>
            </a:graphic>
          </wp:inline>
        </w:drawing>
      </w:r>
    </w:p>
    <w:p>
      <w:pPr>
        <w:pStyle w:val="Normal"/>
        <w:spacing w:before="0" w:after="200"/>
        <w:jc w:val="center"/>
        <w:rPr/>
      </w:pPr>
      <w:r>
        <w:rPr>
          <w:b/>
          <w:bCs/>
          <w:color w:val="52514E"/>
          <w:sz w:val="18"/>
          <w:szCs w:val="18"/>
        </w:rPr>
        <w:t xml:space="preserve">Figura 1. </w:t>
      </w:r>
      <w:r>
        <w:rPr>
          <w:i/>
          <w:iCs/>
          <w:color w:val="52514E"/>
          <w:sz w:val="18"/>
          <w:szCs w:val="18"/>
        </w:rPr>
        <w:t>Arquitectura general de la plataforma en la Fase 1.</w:t>
      </w:r>
    </w:p>
    <w:p>
      <w:pPr>
        <w:pStyle w:val="ListParagraph"/>
        <w:numPr>
          <w:ilvl w:val="0"/>
          <w:numId w:val="10"/>
        </w:numPr>
        <w:spacing w:before="0" w:after="60"/>
        <w:rPr/>
      </w:pPr>
      <w:r>
        <w:rPr>
          <w:b/>
          <w:bCs/>
        </w:rPr>
        <w:t>Recolección:</w:t>
      </w:r>
      <w:r>
        <w:rPr/>
        <w:t xml:space="preserve"> se leen los feeds RSS y se consulta GDELT. Las noticias potencialmente relevantes se acumulan en un archivo propio (</w:t>
      </w:r>
      <w:r>
        <w:rPr>
          <w:rFonts w:eastAsia="Consolas" w:cs="Consolas" w:ascii="Consolas" w:hAnsi="Consolas"/>
          <w:sz w:val="19"/>
          <w:szCs w:val="19"/>
        </w:rPr>
        <w:t>datos/noticias_vivo.json</w:t>
      </w:r>
      <w:r>
        <w:rPr/>
        <w:t>), porque los feeds RSS no guardan noticias antiguas.</w:t>
      </w:r>
    </w:p>
    <w:p>
      <w:pPr>
        <w:pStyle w:val="ListParagraph"/>
        <w:numPr>
          <w:ilvl w:val="0"/>
          <w:numId w:val="2"/>
        </w:numPr>
        <w:spacing w:before="0" w:after="60"/>
        <w:rPr/>
      </w:pPr>
      <w:r>
        <w:rPr>
          <w:b/>
          <w:bCs/>
        </w:rPr>
        <w:t>Clasificación:</w:t>
      </w:r>
      <w:r>
        <w:rPr/>
        <w:t xml:space="preserve"> cada noticia se analiza con reglas de palabras clave y se le asignan técnicas MITRE ATT&amp;CK.</w:t>
      </w:r>
    </w:p>
    <w:p>
      <w:pPr>
        <w:pStyle w:val="ListParagraph"/>
        <w:numPr>
          <w:ilvl w:val="0"/>
          <w:numId w:val="2"/>
        </w:numPr>
        <w:spacing w:before="0" w:after="60"/>
        <w:rPr/>
      </w:pPr>
      <w:r>
        <w:rPr>
          <w:b/>
          <w:bCs/>
        </w:rPr>
        <w:t>Semáforo:</w:t>
      </w:r>
      <w:r>
        <w:rPr/>
        <w:t xml:space="preserve"> se calculan los días detonantes, las ventanas de vigilancia, el nivel de cada día y las alertas.</w:t>
      </w:r>
    </w:p>
    <w:p>
      <w:pPr>
        <w:pStyle w:val="ListParagraph"/>
        <w:numPr>
          <w:ilvl w:val="0"/>
          <w:numId w:val="2"/>
        </w:numPr>
        <w:spacing w:before="0" w:after="60"/>
        <w:rPr/>
      </w:pPr>
      <w:r>
        <w:rPr>
          <w:b/>
          <w:bCs/>
        </w:rPr>
        <w:t>Resultados:</w:t>
      </w:r>
      <w:r>
        <w:rPr/>
        <w:t xml:space="preserve"> todo se guarda en </w:t>
      </w:r>
      <w:r>
        <w:rPr>
          <w:rFonts w:eastAsia="Consolas" w:cs="Consolas" w:ascii="Consolas" w:hAnsi="Consolas"/>
          <w:sz w:val="19"/>
          <w:szCs w:val="19"/>
        </w:rPr>
        <w:t>web/datos.json</w:t>
      </w:r>
      <w:r>
        <w:rPr/>
        <w:t xml:space="preserve"> y se registra en el repositorio (historial versionado).</w:t>
      </w:r>
    </w:p>
    <w:p>
      <w:pPr>
        <w:pStyle w:val="ListParagraph"/>
        <w:numPr>
          <w:ilvl w:val="0"/>
          <w:numId w:val="2"/>
        </w:numPr>
        <w:spacing w:before="0" w:after="60"/>
        <w:rPr/>
      </w:pPr>
      <w:r>
        <w:rPr>
          <w:b/>
          <w:bCs/>
        </w:rPr>
        <w:t>Publicación:</w:t>
      </w:r>
      <w:r>
        <w:rPr/>
        <w:t xml:space="preserve"> GitHub Pages muestra la página, que lee ese archivo.</w:t>
      </w:r>
    </w:p>
    <w:p>
      <w:pPr>
        <w:pStyle w:val="Heading2"/>
        <w:rPr/>
      </w:pPr>
      <w:bookmarkStart w:id="10" w:name="__RefHeading___Toc3143_1804765426"/>
      <w:bookmarkEnd w:id="10"/>
      <w:r>
        <w:rPr/>
        <w:t>4.1. Organización del repositorio</w:t>
      </w:r>
    </w:p>
    <w:p>
      <w:pPr>
        <w:pStyle w:val="Normal"/>
        <w:shd w:val="clear" w:fill="F2F1EE"/>
        <w:spacing w:before="80" w:after="0"/>
        <w:ind w:left="200"/>
        <w:rPr/>
      </w:pPr>
      <w:r>
        <w:rPr>
          <w:rFonts w:eastAsia="Consolas" w:cs="Consolas" w:ascii="Consolas" w:hAnsi="Consolas"/>
          <w:sz w:val="18"/>
          <w:szCs w:val="18"/>
        </w:rPr>
        <w:t>Tfm/</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config/config.json          palabras clave, fuentes, umbrales, ventana</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config/mitre_mapeo.json     reglas palabra → técnica MITRE ATT&amp;CK</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datos/                      incidentes y hechos clave (CSV), histórico GDELT,</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noticias acumuladas, diagnóstico de fuentes</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monitor/                    programa en Python (fuentes, clasificador,</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semáforo, histórico, MITRE, ia/ para la Fase 2)</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web/                        página (index.html, app.js, estilo.css, datos.json)</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tests/                      pruebas automáticas de las reglas</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docs/decisiones_tecnicas.md decisiones de diseño justificadas</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memoria/                    esta memoria (generador, bitácora, capturas)</w:t>
      </w:r>
    </w:p>
    <w:p>
      <w:pPr>
        <w:pStyle w:val="Normal"/>
        <w:shd w:val="clear" w:fill="F2F1EE"/>
        <w:spacing w:before="0" w:after="0"/>
        <w:ind w:left="200"/>
        <w:rPr/>
      </w:pPr>
      <w:r>
        <w:rPr>
          <w:rFonts w:eastAsia="Consolas" w:cs="Consolas" w:ascii="Consolas" w:hAnsi="Consolas"/>
          <w:sz w:val="18"/>
          <w:szCs w:val="18"/>
        </w:rPr>
        <w:t xml:space="preserve">└── </w:t>
      </w:r>
      <w:r>
        <w:rPr>
          <w:rFonts w:eastAsia="Consolas" w:cs="Consolas" w:ascii="Consolas" w:hAnsi="Consolas"/>
          <w:sz w:val="18"/>
          <w:szCs w:val="18"/>
        </w:rPr>
        <w:t>.github/workflows/          actualizar.yml · historico.yml · verificar.yml</w:t>
      </w:r>
      <w:r>
        <w:br w:type="page"/>
      </w:r>
    </w:p>
    <w:p>
      <w:pPr>
        <w:pStyle w:val="Heading1"/>
        <w:rPr/>
      </w:pPr>
      <w:bookmarkStart w:id="11" w:name="__RefHeading___Toc3145_1804765426"/>
      <w:bookmarkEnd w:id="11"/>
      <w:r>
        <w:rPr/>
        <w:t>5. Fuentes de datos</w:t>
      </w:r>
    </w:p>
    <w:p>
      <w:pPr>
        <w:pStyle w:val="Heading2"/>
        <w:rPr/>
      </w:pPr>
      <w:bookmarkStart w:id="12" w:name="__RefHeading___Toc3147_1804765426"/>
      <w:bookmarkEnd w:id="12"/>
      <w:r>
        <w:rPr/>
        <w:t>5.1. Validación de las fuentes</w:t>
      </w:r>
    </w:p>
    <w:p>
      <w:pPr>
        <w:pStyle w:val="Normal"/>
        <w:spacing w:lineRule="exact" w:line="290" w:before="0" w:after="120"/>
        <w:rPr/>
      </w:pPr>
      <w:r>
        <w:rPr/>
        <w:t xml:space="preserve">Las fuentes se probaron el 12/10/2026 </w:t>
      </w:r>
      <w:r>
        <w:rPr>
          <w:b/>
          <w:bCs/>
        </w:rPr>
        <w:t>desde los servidores de GitHub Actions</w:t>
      </w:r>
      <w:r>
        <w:rPr/>
        <w:t>, que es donde la plataforma funciona. Resultado:</w:t>
      </w:r>
    </w:p>
    <w:tbl>
      <w:tblPr>
        <w:tblW w:w="9638" w:type="dxa"/>
        <w:jc w:val="left"/>
        <w:tblInd w:w="0" w:type="dxa"/>
        <w:tblLayout w:type="fixed"/>
        <w:tblCellMar>
          <w:top w:w="60" w:type="dxa"/>
          <w:left w:w="100" w:type="dxa"/>
          <w:bottom w:w="60" w:type="dxa"/>
          <w:right w:w="100" w:type="dxa"/>
        </w:tblCellMar>
      </w:tblPr>
      <w:tblGrid>
        <w:gridCol w:w="2299"/>
        <w:gridCol w:w="2001"/>
        <w:gridCol w:w="5338"/>
      </w:tblGrid>
      <w:tr>
        <w:trPr>
          <w:tblHeader w:val="true"/>
        </w:trPr>
        <w:tc>
          <w:tcPr>
            <w:tcW w:w="22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Fuente</w:t>
            </w:r>
          </w:p>
        </w:tc>
        <w:tc>
          <w:tcPr>
            <w:tcW w:w="20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Tipo</w:t>
            </w:r>
          </w:p>
        </w:tc>
        <w:tc>
          <w:tcPr>
            <w:tcW w:w="53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Resultado de la prueba</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Record</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Ciberseguridad (EN)</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(5 ítems por lectura)</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BleepingComputer</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Ciberseguridad (EN)</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(15 ítems)</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Hacker News</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Ciberseguridad (EN)</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(50 ítems)</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WeLiveSecurity (ESET)</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Ciberseguridad (ES)</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con /es/rss/feed/ (100 ítems). La URL /es/feed/ da error 404.</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Infobae</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Medio argentino</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con /arc/outboundfeeds/rss/ (100 ítems). La URL /feeds/rss/ da error 404.</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Nación</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Medio argentino</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(88–89 ítems)</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GDELT DOC 2.0 API</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Noticias mundiales</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y tiene historial 2023–2024, pero con límite de uso estricto (HTTP 429 frecuentes).</w:t>
            </w:r>
          </w:p>
        </w:tc>
      </w:tr>
      <w:tr>
        <w:trPr/>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MITRE ATT&amp;CK (STIX)</w:t>
            </w:r>
          </w:p>
        </w:tc>
        <w:tc>
          <w:tcPr>
            <w:tcW w:w="20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Catálogo de técnicas</w:t>
            </w:r>
          </w:p>
        </w:tc>
        <w:tc>
          <w:tcPr>
            <w:tcW w:w="53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Funciona (descarga oficial desde github.com/mitre/cti).</w:t>
            </w:r>
          </w:p>
        </w:tc>
      </w:tr>
    </w:tbl>
    <w:p>
      <w:pPr>
        <w:pStyle w:val="Normal"/>
        <w:spacing w:before="0" w:after="120"/>
        <w:rPr/>
      </w:pPr>
      <w:r>
        <w:rPr/>
      </w:r>
    </w:p>
    <w:p>
      <w:pPr>
        <w:pStyle w:val="Normal"/>
        <w:spacing w:lineRule="exact" w:line="290" w:before="0" w:after="120"/>
        <w:rPr/>
      </w:pPr>
      <w:r>
        <w:rPr/>
        <w:t>Ninguna fuente tuvo que descartarse. Las direcciones que fallaron se reemplazaron por las alternativas que sí funcionan.</w:t>
      </w:r>
    </w:p>
    <w:p>
      <w:pPr>
        <w:pStyle w:val="Heading2"/>
        <w:rPr/>
      </w:pPr>
      <w:bookmarkStart w:id="13" w:name="__RefHeading___Toc3149_1804765426"/>
      <w:bookmarkEnd w:id="13"/>
      <w:r>
        <w:rPr/>
        <w:t>5.2. GDELT: el principal desafío técnico</w:t>
      </w:r>
    </w:p>
    <w:p>
      <w:pPr>
        <w:pStyle w:val="Normal"/>
        <w:spacing w:lineRule="exact" w:line="290" w:before="0" w:after="120"/>
        <w:rPr/>
      </w:pPr>
      <w:r>
        <w:rPr/>
        <w:t xml:space="preserve">GDELT admite aproximadamente una consulta cada 5 segundos por dirección IP. Como los servidores de GitHub son compartidos con muchos otros usuarios, en la práctica se midió </w:t>
      </w:r>
      <w:r>
        <w:rPr>
          <w:b/>
          <w:bCs/>
        </w:rPr>
        <w:t>una consulta exitosa cada 20 segundos a 3,5 minutos</w:t>
      </w:r>
      <w:r>
        <w:rPr/>
        <w:t>, con muchos rechazos (HTTP 429). Además, las consultas geopolíticas alcanzaban el máximo de 250 artículos incluso en tramos de 3 días.</w:t>
      </w:r>
    </w:p>
    <w:p>
      <w:pPr>
        <w:pStyle w:val="Normal"/>
        <w:spacing w:lineRule="exact" w:line="290" w:before="0" w:after="120"/>
        <w:rPr/>
      </w:pPr>
      <w:r>
        <w:rPr/>
        <w:t>Para resolverlo se rediseñó la descarga del histórico:</w:t>
      </w:r>
    </w:p>
    <w:p>
      <w:pPr>
        <w:pStyle w:val="ListParagraph"/>
        <w:numPr>
          <w:ilvl w:val="0"/>
          <w:numId w:val="11"/>
        </w:numPr>
        <w:spacing w:before="0" w:after="60"/>
        <w:rPr/>
      </w:pPr>
      <w:r>
        <w:rPr/>
        <w:t>Una sola consulta geopolítica y una sola consulta ciber (español e inglés combinados).</w:t>
      </w:r>
    </w:p>
    <w:p>
      <w:pPr>
        <w:pStyle w:val="ListParagraph"/>
        <w:numPr>
          <w:ilvl w:val="0"/>
          <w:numId w:val="3"/>
        </w:numPr>
        <w:spacing w:before="0" w:after="60"/>
        <w:rPr/>
      </w:pPr>
      <w:r>
        <w:rPr/>
        <w:t xml:space="preserve">Artículos ordenados por </w:t>
      </w:r>
      <w:r>
        <w:rPr>
          <w:b/>
          <w:bCs/>
        </w:rPr>
        <w:t>relevancia</w:t>
      </w:r>
      <w:r>
        <w:rPr/>
        <w:t>, para que, si se llega al máximo de 250, se conserven los más pertinentes.</w:t>
      </w:r>
    </w:p>
    <w:p>
      <w:pPr>
        <w:pStyle w:val="ListParagraph"/>
        <w:numPr>
          <w:ilvl w:val="0"/>
          <w:numId w:val="3"/>
        </w:numPr>
        <w:spacing w:before="0" w:after="60"/>
        <w:rPr/>
      </w:pPr>
      <w:r>
        <w:rPr/>
        <w:t xml:space="preserve">Tramos de </w:t>
      </w:r>
      <w:r>
        <w:rPr>
          <w:b/>
          <w:bCs/>
        </w:rPr>
        <w:t>2 días</w:t>
      </w:r>
      <w:r>
        <w:rPr/>
        <w:t xml:space="preserve"> para la consulta geopolítica y de </w:t>
      </w:r>
      <w:r>
        <w:rPr>
          <w:b/>
          <w:bCs/>
        </w:rPr>
        <w:t>30 días</w:t>
      </w:r>
      <w:r>
        <w:rPr/>
        <w:t xml:space="preserve"> para la ciber: 196 consultas en total.</w:t>
      </w:r>
    </w:p>
    <w:p>
      <w:pPr>
        <w:pStyle w:val="ListParagraph"/>
        <w:numPr>
          <w:ilvl w:val="0"/>
          <w:numId w:val="3"/>
        </w:numPr>
        <w:spacing w:before="0" w:after="60"/>
        <w:rPr/>
      </w:pPr>
      <w:r>
        <w:rPr>
          <w:b/>
          <w:bCs/>
        </w:rPr>
        <w:t>Descarga por partes y reanudable:</w:t>
      </w:r>
      <w:r>
        <w:rPr/>
        <w:t xml:space="preserve"> cada ejecución trabaja como máximo 40 minutos, guarda el progreso y se detiene antes si GDELT rechaza 3 consultas seguidas. Un workflow dedicado la repite cada hora hasta completarla.</w:t>
      </w:r>
    </w:p>
    <w:p>
      <w:pPr>
        <w:pStyle w:val="Normal"/>
        <w:spacing w:lineRule="exact" w:line="290" w:before="0" w:after="120"/>
        <w:rPr/>
      </w:pPr>
      <w:r>
        <w:rPr/>
        <w:t xml:space="preserve">Un diagnóstico posterior confirmó que, para el monitoreo </w:t>
      </w:r>
      <w:r>
        <w:rPr>
          <w:b/>
          <w:bCs/>
        </w:rPr>
        <w:t>en vivo</w:t>
      </w:r>
      <w:r>
        <w:rPr/>
        <w:t xml:space="preserve">, los feeds RSS son la fuente principal y GDELT es complementario. GDELT aporta su mayor valor en el </w:t>
      </w:r>
      <w:r>
        <w:rPr>
          <w:b/>
          <w:bCs/>
        </w:rPr>
        <w:t>análisis histórico</w:t>
      </w:r>
      <w:r>
        <w:rPr/>
        <w:t>.</w:t>
      </w:r>
    </w:p>
    <w:p>
      <w:pPr>
        <w:pStyle w:val="Heading2"/>
        <w:rPr/>
      </w:pPr>
      <w:bookmarkStart w:id="14" w:name="__RefHeading___Toc3151_1804765426"/>
      <w:bookmarkEnd w:id="14"/>
      <w:r>
        <w:rPr/>
        <w:t>5.3. Archivos de carga manual</w:t>
      </w:r>
    </w:p>
    <w:p>
      <w:pPr>
        <w:pStyle w:val="Normal"/>
        <w:spacing w:lineRule="exact" w:line="290" w:before="0" w:after="120"/>
        <w:rPr/>
      </w:pPr>
      <w:r>
        <w:rPr/>
        <w:t>Dado que los grupos hacktivistas anuncian sus ataques mayormente en Telegram o X (fuera del alcance de la Fase 1), se crearon dos archivos CSV editables desde GitHub:</w:t>
      </w:r>
    </w:p>
    <w:p>
      <w:pPr>
        <w:pStyle w:val="ListParagraph"/>
        <w:numPr>
          <w:ilvl w:val="0"/>
          <w:numId w:val="3"/>
        </w:numPr>
        <w:spacing w:before="0" w:after="60"/>
        <w:rPr/>
      </w:pPr>
      <w:r>
        <w:rPr>
          <w:rFonts w:eastAsia="Consolas" w:cs="Consolas" w:ascii="Consolas" w:hAnsi="Consolas"/>
          <w:sz w:val="19"/>
          <w:szCs w:val="19"/>
        </w:rPr>
        <w:t>datos/hechos_clave.csv</w:t>
      </w:r>
      <w:r>
        <w:rPr/>
        <w:t xml:space="preserve">: 8 hechos geopolíticos de referencia (7 de octubre de 2023, balotaje, asunción presidencial, visita a Israel y anuncio sobre la embajada, fallo AMIA, ataque iraní a Israel, declaración de Hamás como organización terrorista, 30.º aniversario de la AMIA). Están marcados como </w:t>
      </w:r>
      <w:r>
        <w:rPr>
          <w:b/>
          <w:bCs/>
        </w:rPr>
        <w:t>no verificados</w:t>
      </w:r>
      <w:r>
        <w:rPr/>
        <w:t xml:space="preserve"> hasta que el autor confirme fechas y fuentes.</w:t>
      </w:r>
    </w:p>
    <w:p>
      <w:pPr>
        <w:pStyle w:val="ListParagraph"/>
        <w:numPr>
          <w:ilvl w:val="0"/>
          <w:numId w:val="3"/>
        </w:numPr>
        <w:spacing w:before="0" w:after="60"/>
        <w:rPr/>
      </w:pPr>
      <w:r>
        <w:rPr>
          <w:rFonts w:eastAsia="Consolas" w:cs="Consolas" w:ascii="Consolas" w:hAnsi="Consolas"/>
          <w:sz w:val="19"/>
          <w:szCs w:val="19"/>
        </w:rPr>
        <w:t>datos/incidentes_historicos.csv</w:t>
      </w:r>
      <w:r>
        <w:rPr/>
        <w:t xml:space="preserve">: ataques conocidos. Se entregó solo con una fila de ejemplo (que se ignora); </w:t>
      </w:r>
      <w:r>
        <w:rPr>
          <w:b/>
          <w:bCs/>
        </w:rPr>
        <w:t>no se inventaron incidentes</w:t>
      </w:r>
      <w:r>
        <w:rPr/>
        <w:t>. Su carga es la próxima tarea del autor.</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trPr>
        <w:tc>
          <w:tcPr>
            <w:tcW w:w="35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Columna</w:t>
            </w:r>
          </w:p>
        </w:tc>
        <w:tc>
          <w:tcPr>
            <w:tcW w:w="60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Contenido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 fecha</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Identificador único y fecha del ataque (AAAA-MM-DD)</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grupo, objetivo, dominio_objetivo, sector</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Quién atacó, a quién, qué sitio y de qué sector</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tipo_ataque, tecnicas_mitre</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 / ddos / filtracion / otro y técnicas ATT&amp;CK</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descripcion, motivacion_declarada</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Resumen y motivación reivindicada por el grupo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fuente_nombre, fuente_url</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Origen del dato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confianza, verificado</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Alta/media/baja y si fue verificado (práctica estándar de CTI)</w:t>
            </w:r>
          </w:p>
        </w:tc>
      </w:tr>
    </w:tbl>
    <w:p>
      <w:pPr>
        <w:pStyle w:val="Heading2"/>
        <w:rPr/>
      </w:pPr>
      <w:bookmarkStart w:id="15" w:name="__RefHeading___Toc3153_1804765426"/>
      <w:bookmarkEnd w:id="15"/>
      <w:r>
        <w:rPr/>
        <w:t>5.4. Búsqueda inicial de incidentes (pendiente de validación)</w:t>
      </w:r>
    </w:p>
    <w:p>
      <w:pPr>
        <w:pStyle w:val="Normal"/>
        <w:spacing w:lineRule="exact" w:line="290" w:before="0" w:after="120"/>
        <w:rPr/>
      </w:pPr>
      <w:r>
        <w:rPr/>
        <w:t xml:space="preserve">El 13/10/2026 se realizó una búsqueda inicial en fuentes abiertas para identificar ataques del período de estudio. Se consultaron medios argentinos, sitios especializados en inteligencia de amenazas e informes de empresas de seguridad (Radware, Check Point, Group-IB, entre otros). Los resultados son </w:t>
      </w:r>
      <w:r>
        <w:rPr>
          <w:b/>
          <w:bCs/>
        </w:rPr>
        <w:t>candidatos</w:t>
      </w:r>
      <w:r>
        <w:rPr/>
        <w:t>: ninguno se cargó en el archivo de incidentes hasta que el autor los valide.</w:t>
      </w:r>
    </w:p>
    <w:tbl>
      <w:tblPr>
        <w:tblW w:w="9638" w:type="dxa"/>
        <w:jc w:val="left"/>
        <w:tblInd w:w="0" w:type="dxa"/>
        <w:tblLayout w:type="fixed"/>
        <w:tblCellMar>
          <w:top w:w="60" w:type="dxa"/>
          <w:left w:w="100" w:type="dxa"/>
          <w:bottom w:w="60" w:type="dxa"/>
          <w:right w:w="100" w:type="dxa"/>
        </w:tblCellMar>
      </w:tblPr>
      <w:tblGrid>
        <w:gridCol w:w="1499"/>
        <w:gridCol w:w="1401"/>
        <w:gridCol w:w="2200"/>
        <w:gridCol w:w="2099"/>
        <w:gridCol w:w="2439"/>
      </w:tblGrid>
      <w:tr>
        <w:trPr>
          <w:tblHeader w:val="true"/>
        </w:trPr>
        <w:tc>
          <w:tcPr>
            <w:tcW w:w="14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14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Grupo</w:t>
            </w:r>
          </w:p>
        </w:tc>
        <w:tc>
          <w:tcPr>
            <w:tcW w:w="22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Objetivo / tipo</w:t>
            </w:r>
          </w:p>
        </w:tc>
        <w:tc>
          <w:tcPr>
            <w:tcW w:w="20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Fuentes encontradas</w:t>
            </w:r>
          </w:p>
        </w:tc>
        <w:tc>
          <w:tcPr>
            <w:tcW w:w="243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Observaciones</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Agosto 2023 (día sin precisar)</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Cyber Dragonz</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Biblioteca del Congreso de la Nación · defacement</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C5N, que cita a mefiltraron.com</w:t>
            </w:r>
          </w:p>
        </w:tc>
        <w:tc>
          <w:tcPr>
            <w:tcW w:w="24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Señalado como el primer ataque al país vinculado al conflicto Israel–Palestina. Fuente secundaria: falta la fecha exacta.</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 </w:t>
            </w:r>
            <w:r>
              <w:rPr>
                <w:sz w:val="19"/>
                <w:szCs w:val="19"/>
              </w:rPr>
              <w:t>22 feb 2024</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Fuerzas Armadas / Ejército Argentino · filtración de datos (reivindicada)</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Zona Militar (22/02/2024), CyberShafarat, C5N, AGC News</w:t>
            </w:r>
          </w:p>
        </w:tc>
        <w:tc>
          <w:tcPr>
            <w:tcW w:w="24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Reivindicación del grupo, sin confirmación oficial. Motivación declarada: apoyo de Milei a Israel. Ocurre 16 días después de la visita a Israel.</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 (fecha a confirmar)</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REM</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Cuentas de la AMIA y credenciales de milei.com.ar · filtración</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C5N, que cita un aviso de Birmingham Cyber Arms</w:t>
            </w:r>
          </w:p>
        </w:tc>
        <w:tc>
          <w:tcPr>
            <w:tcW w:w="24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Mensaje hostil a Milei por su vínculo con Israel. Falta la fecha.</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 xml:space="preserve">≈ </w:t>
            </w:r>
            <w:r>
              <w:rPr>
                <w:sz w:val="19"/>
                <w:szCs w:val="19"/>
              </w:rPr>
              <w:t>5 ago 2024 (fuera del período)</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Medio de noticias y Ministerio de Salud</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Publicación de Daily Dark Web en X</w:t>
            </w:r>
          </w:p>
        </w:tc>
        <w:tc>
          <w:tcPr>
            <w:tcW w:w="24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Reivindicación «en apoyo a Palestina». Posterior al aniversario de la AMIA.</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Ago 2024 (fuera del período)</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2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Servidor de la Fuerza Aérea Argentina</w:t>
            </w:r>
          </w:p>
        </w:tc>
        <w:tc>
          <w:tcPr>
            <w:tcW w:w="2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Daily Dark Web</w:t>
            </w:r>
          </w:p>
        </w:tc>
        <w:tc>
          <w:tcPr>
            <w:tcW w:w="24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Reivindicación, motivación declarada: Gaza.</w:t>
            </w:r>
          </w:p>
        </w:tc>
      </w:tr>
    </w:tbl>
    <w:p>
      <w:pPr>
        <w:pStyle w:val="Normal"/>
        <w:spacing w:before="0" w:after="120"/>
        <w:rPr/>
      </w:pPr>
      <w:r>
        <w:rPr/>
      </w:r>
    </w:p>
    <w:p>
      <w:pPr>
        <w:pStyle w:val="Normal"/>
        <w:spacing w:lineRule="exact" w:line="290" w:before="0" w:after="120"/>
        <w:rPr/>
      </w:pPr>
      <w:r>
        <w:rPr>
          <w:b/>
          <w:bCs/>
        </w:rPr>
        <w:t>Descartados por no corresponder al caso:</w:t>
      </w:r>
      <w:r>
        <w:rPr/>
        <w:t xml:space="preserve"> el hackeo de argentina.gob.ar y Mi Argentina (diciembre de 2024, sin motivación pro-Palestina), los ataques del individuo «gov.eth» (2024–2025) y el ataque de Chronus Team (2026).</w:t>
      </w:r>
    </w:p>
    <w:p>
      <w:pPr>
        <w:pStyle w:val="Normal"/>
        <w:spacing w:lineRule="exact" w:line="290" w:before="0" w:after="120"/>
        <w:rPr/>
      </w:pPr>
      <w:r>
        <w:rPr>
          <w:b/>
          <w:bCs/>
        </w:rPr>
        <w:t>Observaciones metodológicas:</w:t>
      </w:r>
    </w:p>
    <w:p>
      <w:pPr>
        <w:pStyle w:val="ListParagraph"/>
        <w:numPr>
          <w:ilvl w:val="0"/>
          <w:numId w:val="3"/>
        </w:numPr>
        <w:spacing w:before="0" w:after="60"/>
        <w:rPr/>
      </w:pPr>
      <w:r>
        <w:rPr/>
        <w:t xml:space="preserve">La cobertura en prensa es escasa: la mayoría de los datos proviene de </w:t>
      </w:r>
      <w:r>
        <w:rPr>
          <w:b/>
          <w:bCs/>
        </w:rPr>
        <w:t>reivindicaciones</w:t>
      </w:r>
      <w:r>
        <w:rPr/>
        <w:t xml:space="preserve"> de los propios grupos difundidas por sitios de monitoreo de la dark web. Por eso son importantes las columnas </w:t>
      </w:r>
      <w:r>
        <w:rPr>
          <w:rFonts w:eastAsia="Consolas" w:cs="Consolas" w:ascii="Consolas" w:hAnsi="Consolas"/>
          <w:sz w:val="19"/>
          <w:szCs w:val="19"/>
        </w:rPr>
        <w:t>confianza</w:t>
      </w:r>
      <w:r>
        <w:rPr/>
        <w:t xml:space="preserve"> y </w:t>
      </w:r>
      <w:r>
        <w:rPr>
          <w:rFonts w:eastAsia="Consolas" w:cs="Consolas" w:ascii="Consolas" w:hAnsi="Consolas"/>
          <w:sz w:val="19"/>
          <w:szCs w:val="19"/>
        </w:rPr>
        <w:t>verificado</w:t>
      </w:r>
      <w:r>
        <w:rPr/>
        <w:t>.</w:t>
      </w:r>
    </w:p>
    <w:p>
      <w:pPr>
        <w:pStyle w:val="ListParagraph"/>
        <w:numPr>
          <w:ilvl w:val="0"/>
          <w:numId w:val="3"/>
        </w:numPr>
        <w:spacing w:before="0" w:after="60"/>
        <w:rPr/>
      </w:pPr>
      <w:r>
        <w:rPr/>
        <w:t xml:space="preserve">El ataque de LulzSec Muslims de febrero de 2024 queda </w:t>
      </w:r>
      <w:r>
        <w:rPr>
          <w:b/>
          <w:bCs/>
        </w:rPr>
        <w:t>16 días</w:t>
      </w:r>
      <w:r>
        <w:rPr/>
        <w:t xml:space="preserve"> después del hecho detonante: con la ventana de 7 días aparecería como alerta informativa, y con una ventana de 14 o 21 días, como roja. Esto refuerza la necesidad del análisis de sensibilidad de la ventana.</w:t>
      </w:r>
    </w:p>
    <w:p>
      <w:pPr>
        <w:pStyle w:val="ListParagraph"/>
        <w:numPr>
          <w:ilvl w:val="0"/>
          <w:numId w:val="3"/>
        </w:numPr>
        <w:spacing w:before="0" w:after="60"/>
        <w:rPr/>
      </w:pPr>
      <w:r>
        <w:rPr/>
        <w:t>Varias reivindicaciones se concentran en agosto de 2024, justo después del cierre del período. Conviene evaluar si se extiende el período del caso de estudio.</w:t>
      </w:r>
      <w:r>
        <w:br w:type="page"/>
      </w:r>
    </w:p>
    <w:p>
      <w:pPr>
        <w:pStyle w:val="Heading1"/>
        <w:rPr/>
      </w:pPr>
      <w:bookmarkStart w:id="16" w:name="__RefHeading___Toc3155_1804765426"/>
      <w:bookmarkEnd w:id="16"/>
      <w:r>
        <w:rPr/>
        <w:t>6. Clasificación por reglas (Fase 1)</w:t>
      </w:r>
    </w:p>
    <w:p>
      <w:pPr>
        <w:pStyle w:val="Heading2"/>
        <w:rPr/>
      </w:pPr>
      <w:bookmarkStart w:id="17" w:name="__RefHeading___Toc3157_1804765426"/>
      <w:bookmarkEnd w:id="17"/>
      <w:r>
        <w:rPr/>
        <w:t>6.1. Noticias geopolíticas</w:t>
      </w:r>
    </w:p>
    <w:p>
      <w:pPr>
        <w:pStyle w:val="Normal"/>
        <w:spacing w:lineRule="exact" w:line="290" w:before="0" w:after="120"/>
        <w:rPr/>
      </w:pPr>
      <w:r>
        <w:rPr/>
        <w:t xml:space="preserve">Una noticia es </w:t>
      </w:r>
      <w:r>
        <w:rPr>
          <w:b/>
          <w:bCs/>
        </w:rPr>
        <w:t>geopolítica relevante</w:t>
      </w:r>
      <w:r>
        <w:rPr/>
        <w:t xml:space="preserve"> si menciona a Argentina y la suma de los pesos de sus términos geopolíticos alcanza el umbral (</w:t>
      </w:r>
      <w:r>
        <w:rPr>
          <w:b/>
          <w:bCs/>
        </w:rPr>
        <w:t>2 puntos</w:t>
      </w:r>
      <w:r>
        <w:rPr/>
        <w:t>). Los términos se buscan sin tildes, sin distinguir mayúsculas y como palabras completas.</w:t>
      </w:r>
    </w:p>
    <w:tbl>
      <w:tblPr>
        <w:tblW w:w="9638" w:type="dxa"/>
        <w:jc w:val="left"/>
        <w:tblInd w:w="0" w:type="dxa"/>
        <w:tblLayout w:type="fixed"/>
        <w:tblCellMar>
          <w:top w:w="60" w:type="dxa"/>
          <w:left w:w="100" w:type="dxa"/>
          <w:bottom w:w="60" w:type="dxa"/>
          <w:right w:w="100" w:type="dxa"/>
        </w:tblCellMar>
      </w:tblPr>
      <w:tblGrid>
        <w:gridCol w:w="1400"/>
        <w:gridCol w:w="8237"/>
      </w:tblGrid>
      <w:tr>
        <w:trPr>
          <w:tblHeader w:val="true"/>
        </w:trPr>
        <w:tc>
          <w:tcPr>
            <w:tcW w:w="14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Peso</w:t>
            </w:r>
          </w:p>
        </w:tc>
        <w:tc>
          <w:tcPr>
            <w:tcW w:w="8237"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Términos (español e inglés)</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 puntos</w:t>
            </w:r>
          </w:p>
        </w:tc>
        <w:tc>
          <w:tcPr>
            <w:tcW w:w="82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hamas, hezbola, hezbollah, iran, irani, iranian, amia</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 punto</w:t>
            </w:r>
          </w:p>
        </w:tc>
        <w:tc>
          <w:tcPr>
            <w:tcW w:w="82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israel, israeli, israeli's, jerusalen, jerusalem, palestina, palestino, palestine, palestinian, gaza, embajada, embassy, onu, naciones unidas, united nations</w:t>
            </w:r>
          </w:p>
        </w:tc>
      </w:tr>
    </w:tbl>
    <w:p>
      <w:pPr>
        <w:pStyle w:val="Normal"/>
        <w:spacing w:before="0" w:after="120"/>
        <w:rPr/>
      </w:pPr>
      <w:r>
        <w:rPr/>
      </w:r>
    </w:p>
    <w:p>
      <w:pPr>
        <w:pStyle w:val="Normal"/>
        <w:spacing w:lineRule="exact" w:line="290" w:before="0" w:after="120"/>
        <w:rPr/>
      </w:pPr>
      <w:r>
        <w:rPr/>
        <w:t xml:space="preserve">Ejemplos: «Argentina e Israel firman un acuerdo comercial» suma 1 punto y </w:t>
      </w:r>
      <w:r>
        <w:rPr>
          <w:b/>
          <w:bCs/>
        </w:rPr>
        <w:t>no</w:t>
      </w:r>
      <w:r>
        <w:rPr/>
        <w:t xml:space="preserve"> se considera relevante. «Milei anunció que trasladará la embajada argentina a Jerusalén» suma 2 (embajada + Jerusalén) y </w:t>
      </w:r>
      <w:r>
        <w:rPr>
          <w:b/>
          <w:bCs/>
        </w:rPr>
        <w:t>sí</w:t>
      </w:r>
      <w:r>
        <w:rPr/>
        <w:t xml:space="preserve"> se considera relevante.</w:t>
      </w:r>
    </w:p>
    <w:p>
      <w:pPr>
        <w:pStyle w:val="Heading2"/>
        <w:rPr/>
      </w:pPr>
      <w:bookmarkStart w:id="18" w:name="__RefHeading___Toc3159_1804765426"/>
      <w:bookmarkEnd w:id="18"/>
      <w:r>
        <w:rPr/>
        <w:t>6.2. Noticias de ataque</w:t>
      </w:r>
    </w:p>
    <w:p>
      <w:pPr>
        <w:pStyle w:val="Normal"/>
        <w:spacing w:lineRule="exact" w:line="290" w:before="0" w:after="120"/>
        <w:rPr/>
      </w:pPr>
      <w:r>
        <w:rPr/>
        <w:t xml:space="preserve">Una noticia es de </w:t>
      </w:r>
      <w:r>
        <w:rPr>
          <w:b/>
          <w:bCs/>
        </w:rPr>
        <w:t>ataque</w:t>
      </w:r>
      <w:r>
        <w:rPr/>
        <w:t xml:space="preserve"> si contiene al menos un término cibernético </w:t>
      </w:r>
      <w:r>
        <w:rPr>
          <w:b/>
          <w:bCs/>
        </w:rPr>
        <w:t>y</w:t>
      </w:r>
      <w:r>
        <w:rPr/>
        <w:t xml:space="preserve"> menciona a Argentina (o un dominio </w:t>
      </w:r>
      <w:r>
        <w:rPr>
          <w:rFonts w:eastAsia="Consolas" w:cs="Consolas" w:ascii="Consolas" w:hAnsi="Consolas"/>
          <w:sz w:val="19"/>
          <w:szCs w:val="19"/>
        </w:rPr>
        <w:t>.gob.ar</w:t>
      </w:r>
      <w:r>
        <w:rPr/>
        <w:t>). Entre los términos están: hackeo, hackers, ciberataque, filtración de datos, defacement, sitio caído, DDoS, hacktivistas, ransomware, gob.ar y los nombres de los grupos (Cyber Dragonz, LulzSec Muslims, REM, Ripper Sec, Anonymous Sudan, Mysterious Team, Team Insane PK).</w:t>
      </w:r>
    </w:p>
    <w:p>
      <w:pPr>
        <w:pStyle w:val="ListParagraph"/>
        <w:numPr>
          <w:ilvl w:val="0"/>
          <w:numId w:val="3"/>
        </w:numPr>
        <w:spacing w:before="0" w:after="60"/>
        <w:rPr/>
      </w:pPr>
      <w:r>
        <w:rPr/>
        <w:t xml:space="preserve">La sigla </w:t>
      </w:r>
      <w:r>
        <w:rPr>
          <w:b/>
          <w:bCs/>
        </w:rPr>
        <w:t>REM</w:t>
      </w:r>
      <w:r>
        <w:rPr/>
        <w:t xml:space="preserve"> solo cuenta si aparece en MAYÚSCULAS, para evitar falsos positivos (por ejemplo, la «fase REM» del sueño).</w:t>
      </w:r>
    </w:p>
    <w:p>
      <w:pPr>
        <w:pStyle w:val="ListParagraph"/>
        <w:numPr>
          <w:ilvl w:val="0"/>
          <w:numId w:val="3"/>
        </w:numPr>
        <w:spacing w:before="0" w:after="60"/>
        <w:rPr/>
      </w:pPr>
      <w:r>
        <w:rPr/>
        <w:t>Se descartaron términos demasiado genéricos como «filtración» a secas, que en la prensa argentina se usa mucho para filtraciones políticas.</w:t>
      </w:r>
    </w:p>
    <w:p>
      <w:pPr>
        <w:pStyle w:val="Heading2"/>
        <w:rPr/>
      </w:pPr>
      <w:bookmarkStart w:id="19" w:name="__RefHeading___Toc3161_1804765426"/>
      <w:bookmarkEnd w:id="19"/>
      <w:r>
        <w:rPr/>
        <w:t>6.3. Mapeo a MITRE ATT&amp;CK</w:t>
      </w:r>
    </w:p>
    <w:p>
      <w:pPr>
        <w:pStyle w:val="Normal"/>
        <w:spacing w:lineRule="exact" w:line="290" w:before="0" w:after="120"/>
        <w:rPr/>
      </w:pPr>
      <w:r>
        <w:rPr/>
        <w:t>A cada noticia de ataque se le asignan técnicas de la matriz Enterprise ATT&amp;CK según las expresiones que contiene. Los nombres oficiales se descargan de MITRE en cada ejecución.</w:t>
      </w:r>
    </w:p>
    <w:tbl>
      <w:tblPr>
        <w:tblW w:w="9638" w:type="dxa"/>
        <w:jc w:val="left"/>
        <w:tblInd w:w="0" w:type="dxa"/>
        <w:tblLayout w:type="fixed"/>
        <w:tblCellMar>
          <w:top w:w="60" w:type="dxa"/>
          <w:left w:w="100" w:type="dxa"/>
          <w:bottom w:w="60" w:type="dxa"/>
          <w:right w:w="100" w:type="dxa"/>
        </w:tblCellMar>
      </w:tblPr>
      <w:tblGrid>
        <w:gridCol w:w="3599"/>
        <w:gridCol w:w="6038"/>
      </w:tblGrid>
      <w:tr>
        <w:trPr>
          <w:tblHeader w:val="true"/>
        </w:trPr>
        <w:tc>
          <w:tcPr>
            <w:tcW w:w="35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Categoría</w:t>
            </w:r>
          </w:p>
        </w:tc>
        <w:tc>
          <w:tcPr>
            <w:tcW w:w="60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Técnicas asignadas</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Desfiguración de sitio web (defacement)</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T1491.002 · External Defacement</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Denegación de servicio (DDoS)</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T1498 · Network Denial of Service</w:t>
            </w:r>
          </w:p>
          <w:p>
            <w:pPr>
              <w:pStyle w:val="Normal"/>
              <w:spacing w:before="0" w:after="20"/>
              <w:rPr/>
            </w:pPr>
            <w:r>
              <w:rPr>
                <w:sz w:val="19"/>
                <w:szCs w:val="19"/>
              </w:rPr>
              <w:t>T1499 · Endpoint Denial of Service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Filtración / robo de datos</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T1213 · Data from Information Repositories</w:t>
            </w:r>
          </w:p>
          <w:p>
            <w:pPr>
              <w:pStyle w:val="Normal"/>
              <w:spacing w:before="0" w:after="20"/>
              <w:rPr/>
            </w:pPr>
            <w:r>
              <w:rPr>
                <w:sz w:val="19"/>
                <w:szCs w:val="19"/>
              </w:rPr>
              <w:t>T1567 · Exfiltration Over Web Service</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Explotación de aplicación expuesta</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T1190 · Exploit Public-Facing Application</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Uso de credenciales robadas</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T1078 · Valid Accounts</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T1486 · Data Encrypted for Impact</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Phishing</w:t>
            </w:r>
          </w:p>
        </w:tc>
        <w:tc>
          <w:tcPr>
            <w:tcW w:w="6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T1566 · Phishing</w:t>
            </w:r>
          </w:p>
        </w:tc>
      </w:tr>
    </w:tbl>
    <w:p>
      <w:pPr>
        <w:pStyle w:val="Heading1"/>
        <w:rPr/>
      </w:pPr>
      <w:r>
        <w:br w:type="page"/>
      </w:r>
      <w:bookmarkStart w:id="20" w:name="__RefHeading___Toc3163_1804765426"/>
      <w:bookmarkEnd w:id="20"/>
      <w:r>
        <w:rPr/>
        <w:t>7. El semáforo de alertas</w:t>
      </w:r>
    </w:p>
    <w:p>
      <w:pPr>
        <w:pStyle w:val="Heading2"/>
        <w:rPr/>
      </w:pPr>
      <w:bookmarkStart w:id="21" w:name="__RefHeading___Toc3165_1804765426"/>
      <w:bookmarkEnd w:id="21"/>
      <w:r>
        <w:rPr/>
        <w:t>7.1. Reglas</w:t>
      </w:r>
    </w:p>
    <w:p>
      <w:pPr>
        <w:pStyle w:val="ListParagraph"/>
        <w:numPr>
          <w:ilvl w:val="0"/>
          <w:numId w:val="12"/>
        </w:numPr>
        <w:spacing w:before="0" w:after="60"/>
        <w:rPr/>
      </w:pPr>
      <w:r>
        <w:rPr>
          <w:b/>
          <w:bCs/>
        </w:rPr>
        <w:t>Día detonante:</w:t>
      </w:r>
      <w:r>
        <w:rPr/>
        <w:t xml:space="preserve"> hay noticias geopolíticas relevantes de al menos </w:t>
      </w:r>
      <w:r>
        <w:rPr>
          <w:b/>
          <w:bCs/>
        </w:rPr>
        <w:t>2 fuentes distintas</w:t>
      </w:r>
      <w:r>
        <w:rPr/>
        <w:t xml:space="preserve"> (corroboración independiente), o hay un hecho clave cargado a mano.</w:t>
      </w:r>
    </w:p>
    <w:p>
      <w:pPr>
        <w:pStyle w:val="ListParagraph"/>
        <w:numPr>
          <w:ilvl w:val="0"/>
          <w:numId w:val="4"/>
        </w:numPr>
        <w:spacing w:before="0" w:after="60"/>
        <w:rPr/>
      </w:pPr>
      <w:r>
        <w:rPr>
          <w:b/>
          <w:bCs/>
        </w:rPr>
        <w:t>Ventana de vigilancia:</w:t>
      </w:r>
      <w:r>
        <w:rPr/>
        <w:t xml:space="preserve"> cada día detonante abre una ventana de </w:t>
      </w:r>
      <w:r>
        <w:rPr>
          <w:b/>
          <w:bCs/>
        </w:rPr>
        <w:t>7 días</w:t>
      </w:r>
      <w:r>
        <w:rPr/>
        <w:t>. Si aparece otro detonante con la ventana abierta, la ventana se extiende.</w:t>
      </w:r>
    </w:p>
    <w:p>
      <w:pPr>
        <w:pStyle w:val="ListParagraph"/>
        <w:numPr>
          <w:ilvl w:val="0"/>
          <w:numId w:val="4"/>
        </w:numPr>
        <w:spacing w:before="0" w:after="60"/>
        <w:rPr/>
      </w:pPr>
      <w:r>
        <w:rPr>
          <w:b/>
          <w:bCs/>
        </w:rPr>
        <w:t>Amarillo:</w:t>
      </w:r>
      <w:r>
        <w:rPr/>
        <w:t xml:space="preserve"> el día está dentro de una ventana y todavía no hubo ataques.</w:t>
      </w:r>
    </w:p>
    <w:p>
      <w:pPr>
        <w:pStyle w:val="ListParagraph"/>
        <w:numPr>
          <w:ilvl w:val="0"/>
          <w:numId w:val="4"/>
        </w:numPr>
        <w:spacing w:before="0" w:after="60"/>
        <w:rPr/>
      </w:pPr>
      <w:r>
        <w:rPr>
          <w:b/>
          <w:bCs/>
        </w:rPr>
        <w:t>Rojo:</w:t>
      </w:r>
      <w:r>
        <w:rPr/>
        <w:t xml:space="preserve"> dentro de la ventana apareció al menos un ataque contra objetivos argentinos. El nivel se mantiene en rojo hasta que la ventana se cierra.</w:t>
      </w:r>
    </w:p>
    <w:p>
      <w:pPr>
        <w:pStyle w:val="ListParagraph"/>
        <w:numPr>
          <w:ilvl w:val="0"/>
          <w:numId w:val="4"/>
        </w:numPr>
        <w:spacing w:before="0" w:after="60"/>
        <w:rPr/>
      </w:pPr>
      <w:r>
        <w:rPr>
          <w:b/>
          <w:bCs/>
        </w:rPr>
        <w:t>Verde:</w:t>
      </w:r>
      <w:r>
        <w:rPr/>
        <w:t xml:space="preserve"> el día no está dentro de ninguna ventana.</w:t>
      </w:r>
    </w:p>
    <w:p>
      <w:pPr>
        <w:pStyle w:val="ListParagraph"/>
        <w:numPr>
          <w:ilvl w:val="0"/>
          <w:numId w:val="4"/>
        </w:numPr>
        <w:spacing w:before="0" w:after="60"/>
        <w:rPr/>
      </w:pPr>
      <w:r>
        <w:rPr>
          <w:b/>
          <w:bCs/>
        </w:rPr>
        <w:t>Alerta informativa:</w:t>
      </w:r>
      <w:r>
        <w:rPr/>
        <w:t xml:space="preserve"> un ataque fuera de toda ventana no cambia el semáforo, pero se informa, porque sirve para evaluar el modelo (posibles detonantes no detectados).</w:t>
      </w:r>
    </w:p>
    <w:p>
      <w:pPr>
        <w:pStyle w:val="Heading2"/>
        <w:rPr/>
      </w:pPr>
      <w:bookmarkStart w:id="22" w:name="__RefHeading___Toc3167_1804765426"/>
      <w:bookmarkEnd w:id="22"/>
      <w:r>
        <w:rPr/>
        <w:t>7.2. Ejemplo</w:t>
      </w:r>
    </w:p>
    <w:tbl>
      <w:tblPr>
        <w:tblW w:w="9638" w:type="dxa"/>
        <w:jc w:val="left"/>
        <w:tblInd w:w="0" w:type="dxa"/>
        <w:tblLayout w:type="fixed"/>
        <w:tblCellMar>
          <w:top w:w="60" w:type="dxa"/>
          <w:left w:w="100" w:type="dxa"/>
          <w:bottom w:w="60" w:type="dxa"/>
          <w:right w:w="100" w:type="dxa"/>
        </w:tblCellMar>
      </w:tblPr>
      <w:tblGrid>
        <w:gridCol w:w="1599"/>
        <w:gridCol w:w="5239"/>
        <w:gridCol w:w="2800"/>
      </w:tblGrid>
      <w:tr>
        <w:trPr>
          <w:tblHeader w:val="true"/>
        </w:trPr>
        <w:tc>
          <w:tcPr>
            <w:tcW w:w="15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523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Qué ocurre</w:t>
            </w:r>
          </w:p>
        </w:tc>
        <w:tc>
          <w:tcPr>
            <w:tcW w:w="28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Nivel</w:t>
            </w:r>
          </w:p>
        </w:tc>
      </w:tr>
      <w:tr>
        <w:trPr/>
        <w:tc>
          <w:tcPr>
            <w:tcW w:w="1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6 feb 2024</w:t>
            </w:r>
          </w:p>
        </w:tc>
        <w:tc>
          <w:tcPr>
            <w:tcW w:w="52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Visita a Israel y anuncio sobre la embajada (hecho detonante)</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Amarillo — ventana hasta el 13 feb</w:t>
            </w:r>
          </w:p>
        </w:tc>
      </w:tr>
      <w:tr>
        <w:trPr/>
        <w:tc>
          <w:tcPr>
            <w:tcW w:w="1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7–8 feb</w:t>
            </w:r>
          </w:p>
        </w:tc>
        <w:tc>
          <w:tcPr>
            <w:tcW w:w="52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 ataques registrados</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Amarillo</w:t>
            </w:r>
          </w:p>
        </w:tc>
      </w:tr>
      <w:tr>
        <w:trPr/>
        <w:tc>
          <w:tcPr>
            <w:tcW w:w="1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9 feb</w:t>
            </w:r>
          </w:p>
        </w:tc>
        <w:tc>
          <w:tcPr>
            <w:tcW w:w="52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registra un ataque contra un sitio .gob.ar (ejemplo ilustrativo)</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Rojo</w:t>
            </w:r>
          </w:p>
        </w:tc>
      </w:tr>
      <w:tr>
        <w:trPr/>
        <w:tc>
          <w:tcPr>
            <w:tcW w:w="1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10–13 feb</w:t>
            </w:r>
          </w:p>
        </w:tc>
        <w:tc>
          <w:tcPr>
            <w:tcW w:w="52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Ventana todavía abierta</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Rojo</w:t>
            </w:r>
          </w:p>
        </w:tc>
      </w:tr>
      <w:tr>
        <w:trPr/>
        <w:tc>
          <w:tcPr>
            <w:tcW w:w="15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 feb</w:t>
            </w:r>
          </w:p>
        </w:tc>
        <w:tc>
          <w:tcPr>
            <w:tcW w:w="52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ventana se cierra</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Verde</w:t>
            </w:r>
          </w:p>
        </w:tc>
      </w:tr>
    </w:tbl>
    <w:p>
      <w:pPr>
        <w:pStyle w:val="Normal"/>
        <w:spacing w:before="0" w:after="120"/>
        <w:rPr/>
      </w:pPr>
      <w:r>
        <w:rPr/>
      </w:r>
    </w:p>
    <w:p>
      <w:pPr>
        <w:pStyle w:val="Normal"/>
        <w:spacing w:lineRule="exact" w:line="290" w:before="0" w:after="120"/>
        <w:rPr/>
      </w:pPr>
      <w:r>
        <w:rPr/>
        <w:t>Este comportamiento está cubierto por las pruebas automáticas del proyecto (ver capítulo 10).</w:t>
      </w:r>
    </w:p>
    <w:p>
      <w:pPr>
        <w:pStyle w:val="Heading2"/>
        <w:rPr/>
      </w:pPr>
      <w:bookmarkStart w:id="23" w:name="__RefHeading___Toc3169_1804765426"/>
      <w:bookmarkEnd w:id="23"/>
      <w:r>
        <w:rPr/>
        <w:t>7.3. Parámetros configurables</w:t>
      </w:r>
    </w:p>
    <w:tbl>
      <w:tblPr>
        <w:tblW w:w="9638" w:type="dxa"/>
        <w:jc w:val="left"/>
        <w:tblInd w:w="0" w:type="dxa"/>
        <w:tblLayout w:type="fixed"/>
        <w:tblCellMar>
          <w:top w:w="60" w:type="dxa"/>
          <w:left w:w="100" w:type="dxa"/>
          <w:bottom w:w="60" w:type="dxa"/>
          <w:right w:w="100" w:type="dxa"/>
        </w:tblCellMar>
      </w:tblPr>
      <w:tblGrid>
        <w:gridCol w:w="3199"/>
        <w:gridCol w:w="1401"/>
        <w:gridCol w:w="5038"/>
      </w:tblGrid>
      <w:tr>
        <w:trPr>
          <w:tblHeader w:val="true"/>
        </w:trPr>
        <w:tc>
          <w:tcPr>
            <w:tcW w:w="31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Parámetro (config.json)</w:t>
            </w:r>
          </w:p>
        </w:tc>
        <w:tc>
          <w:tcPr>
            <w:tcW w:w="14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Valor actual</w:t>
            </w:r>
          </w:p>
        </w:tc>
        <w:tc>
          <w:tcPr>
            <w:tcW w:w="50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Qué controla</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ventana_vigilancia_dias</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w:t>
            </w:r>
          </w:p>
        </w:tc>
        <w:tc>
          <w:tcPr>
            <w:tcW w:w="5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Duración de la ventana de vigilancia</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umbral_puntaje_detonante</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w:t>
            </w:r>
          </w:p>
        </w:tc>
        <w:tc>
          <w:tcPr>
            <w:tcW w:w="5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Puntaje mínimo para que una noticia sea geopolítica relevante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min_fuentes_distintas_por_dia</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w:t>
            </w:r>
          </w:p>
        </w:tc>
        <w:tc>
          <w:tcPr>
            <w:tcW w:w="5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Corroboración: fuentes distintas necesarias para un día detonante</w:t>
            </w:r>
          </w:p>
        </w:tc>
      </w:tr>
      <w:tr>
        <w:trPr/>
        <w:tc>
          <w:tcPr>
            <w:tcW w:w="3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dias_modo_vivo</w:t>
            </w:r>
          </w:p>
        </w:tc>
        <w:tc>
          <w:tcPr>
            <w:tcW w:w="14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30</w:t>
            </w:r>
          </w:p>
        </w:tc>
        <w:tc>
          <w:tcPr>
            <w:tcW w:w="50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Días que muestra el modo en vivo</w:t>
            </w:r>
          </w:p>
        </w:tc>
      </w:tr>
    </w:tbl>
    <w:p>
      <w:pPr>
        <w:pStyle w:val="Heading1"/>
        <w:rPr/>
      </w:pPr>
      <w:r>
        <w:br w:type="page"/>
      </w:r>
      <w:bookmarkStart w:id="24" w:name="__RefHeading___Toc3171_1804765426"/>
      <w:bookmarkEnd w:id="24"/>
      <w:r>
        <w:rPr/>
        <w:t>8. La página web</w:t>
      </w:r>
    </w:p>
    <w:p>
      <w:pPr>
        <w:pStyle w:val="Normal"/>
        <w:spacing w:lineRule="exact" w:line="290" w:before="0" w:after="120"/>
        <w:rPr/>
      </w:pPr>
      <w:r>
        <w:rPr/>
        <w:t>La página tiene una sola pantalla, como se pidió en los requisitos. Funciona en computadora y en celular, en modo claro y oscuro, y no depende de librerías externas.</w:t>
      </w:r>
    </w:p>
    <w:p>
      <w:pPr>
        <w:pStyle w:val="Normal"/>
        <w:keepNext w:val="true"/>
        <w:spacing w:before="120" w:after="60"/>
        <w:jc w:val="center"/>
        <w:rPr/>
      </w:pPr>
      <w:r>
        <w:rPr/>
        <w:drawing>
          <wp:inline distT="0" distB="0" distL="0" distR="0">
            <wp:extent cx="5715000" cy="4019550"/>
            <wp:effectExtent l="0" t="0" r="0" b="0"/>
            <wp:docPr id="2" name="web_vivo.png" descr="Figura 2&#10;Modo en vivo (últimos 30 días): semáforo, línea de tiempo y alertas. Datos reales de la primera revisión, 12/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_vivo.png" descr="Figura 2&#10;Modo en vivo (últimos 30 días): semáforo, línea de tiempo y alertas. Datos reales de la primera revisión, 12/10/2026."/>
                    <pic:cNvPicPr>
                      <a:picLocks noChangeAspect="1" noChangeArrowheads="1"/>
                    </pic:cNvPicPr>
                  </pic:nvPicPr>
                  <pic:blipFill>
                    <a:blip r:embed="rId3"/>
                    <a:stretch>
                      <a:fillRect/>
                    </a:stretch>
                  </pic:blipFill>
                  <pic:spPr bwMode="auto">
                    <a:xfrm>
                      <a:off x="0" y="0"/>
                      <a:ext cx="5715000" cy="4019550"/>
                    </a:xfrm>
                    <a:prstGeom prst="rect">
                      <a:avLst/>
                    </a:prstGeom>
                  </pic:spPr>
                </pic:pic>
              </a:graphicData>
            </a:graphic>
          </wp:inline>
        </w:drawing>
      </w:r>
    </w:p>
    <w:p>
      <w:pPr>
        <w:pStyle w:val="Normal"/>
        <w:spacing w:before="0" w:after="200"/>
        <w:jc w:val="center"/>
        <w:rPr/>
      </w:pPr>
      <w:r>
        <w:rPr>
          <w:b/>
          <w:bCs/>
          <w:color w:val="52514E"/>
          <w:sz w:val="18"/>
          <w:szCs w:val="18"/>
        </w:rPr>
        <w:t xml:space="preserve">Figura 2. </w:t>
      </w:r>
      <w:r>
        <w:rPr>
          <w:i/>
          <w:iCs/>
          <w:color w:val="52514E"/>
          <w:sz w:val="18"/>
          <w:szCs w:val="18"/>
        </w:rPr>
        <w:t>Modo en vivo (últimos 30 días): semáforo, línea de tiempo y alertas. Datos reales de la primera revisión, 12/10/2026.</w:t>
      </w:r>
    </w:p>
    <w:p>
      <w:pPr>
        <w:pStyle w:val="Heading2"/>
        <w:rPr/>
      </w:pPr>
      <w:bookmarkStart w:id="25" w:name="__RefHeading___Toc3173_1804765426"/>
      <w:bookmarkEnd w:id="25"/>
      <w:r>
        <w:rPr/>
        <w:t>8.1. Componentes</w:t>
      </w:r>
    </w:p>
    <w:p>
      <w:pPr>
        <w:pStyle w:val="ListParagraph"/>
        <w:numPr>
          <w:ilvl w:val="0"/>
          <w:numId w:val="3"/>
        </w:numPr>
        <w:spacing w:before="0" w:after="60"/>
        <w:rPr/>
      </w:pPr>
      <w:r>
        <w:rPr>
          <w:b/>
          <w:bCs/>
        </w:rPr>
        <w:t>Semáforo:</w:t>
      </w:r>
      <w:r>
        <w:rPr/>
        <w:t xml:space="preserve"> nivel actual (o el nivel en la fecha final del rango, en modo histórico) y resumen del período: cantidad de hechos, ataques, días en amarillo y en rojo, y nivel máximo.</w:t>
      </w:r>
    </w:p>
    <w:p>
      <w:pPr>
        <w:pStyle w:val="ListParagraph"/>
        <w:numPr>
          <w:ilvl w:val="0"/>
          <w:numId w:val="3"/>
        </w:numPr>
        <w:spacing w:before="0" w:after="60"/>
        <w:rPr/>
      </w:pPr>
      <w:r>
        <w:rPr>
          <w:b/>
          <w:bCs/>
        </w:rPr>
        <w:t>Línea de tiempo:</w:t>
      </w:r>
      <w:r>
        <w:rPr/>
        <w:t xml:space="preserve"> carril superior con hechos geopolíticos (barras por día) y carril inferior con ataques. Los rombos marcan datos cargados a mano; las bandas sombreadas son las ventanas de vigilancia; la franja central muestra el nivel de cada día. Al pasar el mouse por un día se ve un resumen, y con un clic se ven todas sus noticias.</w:t>
      </w:r>
    </w:p>
    <w:p>
      <w:pPr>
        <w:pStyle w:val="ListParagraph"/>
        <w:numPr>
          <w:ilvl w:val="0"/>
          <w:numId w:val="3"/>
        </w:numPr>
        <w:spacing w:before="0" w:after="60"/>
        <w:rPr/>
      </w:pPr>
      <w:r>
        <w:rPr>
          <w:b/>
          <w:bCs/>
        </w:rPr>
        <w:t>Alertas:</w:t>
      </w:r>
      <w:r>
        <w:rPr/>
        <w:t xml:space="preserve"> lista con nivel, fechas, noticias relacionadas, grupos detectados y técnicas MITRE, con enlaces a la fuente y a ATT&amp;CK. Un interruptor muestra u oculta las alertas informativas.</w:t>
      </w:r>
    </w:p>
    <w:p>
      <w:pPr>
        <w:pStyle w:val="ListParagraph"/>
        <w:numPr>
          <w:ilvl w:val="0"/>
          <w:numId w:val="3"/>
        </w:numPr>
        <w:spacing w:before="0" w:after="60"/>
        <w:rPr/>
      </w:pPr>
      <w:r>
        <w:rPr>
          <w:b/>
          <w:bCs/>
        </w:rPr>
        <w:t>Selector de fechas:</w:t>
      </w:r>
      <w:r>
        <w:rPr/>
        <w:t xml:space="preserve"> permite pasar del modo en vivo al histórico; dos botones cargan el caso de estudio (ago 2023 – jul 2024) y el período completo (ago 2023 – hoy).</w:t>
      </w:r>
    </w:p>
    <w:p>
      <w:pPr>
        <w:pStyle w:val="ListParagraph"/>
        <w:numPr>
          <w:ilvl w:val="0"/>
          <w:numId w:val="3"/>
        </w:numPr>
        <w:spacing w:before="0" w:after="60"/>
        <w:rPr/>
      </w:pPr>
      <w:r>
        <w:rPr>
          <w:b/>
          <w:bCs/>
        </w:rPr>
        <w:t>Evaluación del modelo:</w:t>
      </w:r>
      <w:r>
        <w:rPr/>
        <w:t xml:space="preserve"> tabla por tipo de actor y tamaño de ventana (capítulo 15).</w:t>
      </w:r>
    </w:p>
    <w:p>
      <w:pPr>
        <w:pStyle w:val="ListParagraph"/>
        <w:numPr>
          <w:ilvl w:val="0"/>
          <w:numId w:val="3"/>
        </w:numPr>
        <w:spacing w:before="0" w:after="60"/>
        <w:rPr/>
      </w:pPr>
      <w:r>
        <w:rPr>
          <w:b/>
          <w:bCs/>
        </w:rPr>
        <w:t>Tabla de eventos</w:t>
      </w:r>
      <w:r>
        <w:rPr/>
        <w:t xml:space="preserve"> (accesible) y </w:t>
      </w:r>
      <w:r>
        <w:rPr>
          <w:b/>
          <w:bCs/>
        </w:rPr>
        <w:t>estado de las fuentes y metodología</w:t>
      </w:r>
      <w:r>
        <w:rPr/>
        <w:t>.</w:t>
      </w:r>
    </w:p>
    <w:p>
      <w:pPr>
        <w:pStyle w:val="Normal"/>
        <w:keepNext w:val="true"/>
        <w:spacing w:before="120" w:after="60"/>
        <w:jc w:val="center"/>
        <w:rPr/>
      </w:pPr>
      <w:r>
        <w:rPr/>
        <w:drawing>
          <wp:inline distT="0" distB="0" distL="0" distR="0">
            <wp:extent cx="4953000" cy="6429375"/>
            <wp:effectExtent l="0" t="0" r="0" b="0"/>
            <wp:docPr id="3" name="web_historico.png" descr="Figura 3&#10;Modo histórico del caso de estudio con los 8 hechos clave. Todavía sin ataques cargados: 6 alertas amarillas y ninguna r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b_historico.png" descr="Figura 3&#10;Modo histórico del caso de estudio con los 8 hechos clave. Todavía sin ataques cargados: 6 alertas amarillas y ninguna roja."/>
                    <pic:cNvPicPr>
                      <a:picLocks noChangeAspect="1" noChangeArrowheads="1"/>
                    </pic:cNvPicPr>
                  </pic:nvPicPr>
                  <pic:blipFill>
                    <a:blip r:embed="rId4"/>
                    <a:stretch>
                      <a:fillRect/>
                    </a:stretch>
                  </pic:blipFill>
                  <pic:spPr bwMode="auto">
                    <a:xfrm>
                      <a:off x="0" y="0"/>
                      <a:ext cx="4953000" cy="6429375"/>
                    </a:xfrm>
                    <a:prstGeom prst="rect">
                      <a:avLst/>
                    </a:prstGeom>
                  </pic:spPr>
                </pic:pic>
              </a:graphicData>
            </a:graphic>
          </wp:inline>
        </w:drawing>
      </w:r>
    </w:p>
    <w:p>
      <w:pPr>
        <w:pStyle w:val="Normal"/>
        <w:spacing w:before="0" w:after="200"/>
        <w:jc w:val="center"/>
        <w:rPr/>
      </w:pPr>
      <w:r>
        <w:rPr>
          <w:b/>
          <w:bCs/>
          <w:color w:val="52514E"/>
          <w:sz w:val="18"/>
          <w:szCs w:val="18"/>
        </w:rPr>
        <w:t xml:space="preserve">Figura 3. </w:t>
      </w:r>
      <w:r>
        <w:rPr>
          <w:i/>
          <w:iCs/>
          <w:color w:val="52514E"/>
          <w:sz w:val="18"/>
          <w:szCs w:val="18"/>
        </w:rPr>
        <w:t>Modo histórico del caso de estudio con los 8 hechos clave. Todavía sin ataques cargados: 6 alertas amarillas y ninguna roja.</w:t>
      </w:r>
    </w:p>
    <w:p>
      <w:pPr>
        <w:pStyle w:val="Normal"/>
        <w:keepNext w:val="true"/>
        <w:spacing w:before="120" w:after="60"/>
        <w:jc w:val="center"/>
        <w:rPr/>
      </w:pPr>
      <w:r>
        <w:rPr/>
        <w:drawing>
          <wp:inline distT="0" distB="0" distL="0" distR="0">
            <wp:extent cx="5715000" cy="600075"/>
            <wp:effectExtent l="0" t="0" r="0" b="0"/>
            <wp:docPr id="4" name="web_alertas_info.png" descr="Figura 4&#10;Alerta informativa real detectada automáticamente: el ciberataque a la Asociación del Fútbol Argentino (fuente: WeLive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_alertas_info.png" descr="Figura 4&#10;Alerta informativa real detectada automáticamente: el ciberataque a la Asociación del Fútbol Argentino (fuente: WeLiveSecurity)."/>
                    <pic:cNvPicPr>
                      <a:picLocks noChangeAspect="1" noChangeArrowheads="1"/>
                    </pic:cNvPicPr>
                  </pic:nvPicPr>
                  <pic:blipFill>
                    <a:blip r:embed="rId5"/>
                    <a:stretch>
                      <a:fillRect/>
                    </a:stretch>
                  </pic:blipFill>
                  <pic:spPr bwMode="auto">
                    <a:xfrm>
                      <a:off x="0" y="0"/>
                      <a:ext cx="5715000" cy="600075"/>
                    </a:xfrm>
                    <a:prstGeom prst="rect">
                      <a:avLst/>
                    </a:prstGeom>
                  </pic:spPr>
                </pic:pic>
              </a:graphicData>
            </a:graphic>
          </wp:inline>
        </w:drawing>
      </w:r>
    </w:p>
    <w:p>
      <w:pPr>
        <w:pStyle w:val="Normal"/>
        <w:spacing w:before="0" w:after="200"/>
        <w:jc w:val="center"/>
        <w:rPr/>
      </w:pPr>
      <w:r>
        <w:rPr>
          <w:b/>
          <w:bCs/>
          <w:color w:val="52514E"/>
          <w:sz w:val="18"/>
          <w:szCs w:val="18"/>
        </w:rPr>
        <w:t xml:space="preserve">Figura 4. </w:t>
      </w:r>
      <w:r>
        <w:rPr>
          <w:i/>
          <w:iCs/>
          <w:color w:val="52514E"/>
          <w:sz w:val="18"/>
          <w:szCs w:val="18"/>
        </w:rPr>
        <w:t>Alerta informativa real detectada automáticamente: el ciberataque a la Asociación del Fútbol Argentino (fuente: WeLiveSecurity).</w:t>
      </w:r>
    </w:p>
    <w:p>
      <w:pPr>
        <w:pStyle w:val="Normal"/>
        <w:keepNext w:val="true"/>
        <w:spacing w:before="120" w:after="60"/>
        <w:jc w:val="center"/>
        <w:rPr/>
      </w:pPr>
      <w:r>
        <w:rPr/>
        <w:drawing>
          <wp:inline distT="0" distB="0" distL="0" distR="0">
            <wp:extent cx="5715000" cy="3886200"/>
            <wp:effectExtent l="0" t="0" r="0" b="0"/>
            <wp:docPr id="5" name="web_fuentes.png" descr="Figura 5&#10;Diagnóstico de fuentes de la última revisión y explicación de la metodología, visibles en la propia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eb_fuentes.png" descr="Figura 5&#10;Diagnóstico de fuentes de la última revisión y explicación de la metodología, visibles en la propia página."/>
                    <pic:cNvPicPr>
                      <a:picLocks noChangeAspect="1" noChangeArrowheads="1"/>
                    </pic:cNvPicPr>
                  </pic:nvPicPr>
                  <pic:blipFill>
                    <a:blip r:embed="rId6"/>
                    <a:stretch>
                      <a:fillRect/>
                    </a:stretch>
                  </pic:blipFill>
                  <pic:spPr bwMode="auto">
                    <a:xfrm>
                      <a:off x="0" y="0"/>
                      <a:ext cx="5715000" cy="3886200"/>
                    </a:xfrm>
                    <a:prstGeom prst="rect">
                      <a:avLst/>
                    </a:prstGeom>
                  </pic:spPr>
                </pic:pic>
              </a:graphicData>
            </a:graphic>
          </wp:inline>
        </w:drawing>
      </w:r>
    </w:p>
    <w:p>
      <w:pPr>
        <w:pStyle w:val="Normal"/>
        <w:spacing w:before="0" w:after="200"/>
        <w:jc w:val="center"/>
        <w:rPr/>
      </w:pPr>
      <w:r>
        <w:rPr>
          <w:b/>
          <w:bCs/>
          <w:color w:val="52514E"/>
          <w:sz w:val="18"/>
          <w:szCs w:val="18"/>
        </w:rPr>
        <w:t xml:space="preserve">Figura 5. </w:t>
      </w:r>
      <w:r>
        <w:rPr>
          <w:i/>
          <w:iCs/>
          <w:color w:val="52514E"/>
          <w:sz w:val="18"/>
          <w:szCs w:val="18"/>
        </w:rPr>
        <w:t>Diagnóstico de fuentes de la última revisión y explicación de la metodología, visibles en la propia página.</w:t>
      </w:r>
    </w:p>
    <w:p>
      <w:pPr>
        <w:pStyle w:val="Normal"/>
        <w:keepNext w:val="true"/>
        <w:spacing w:before="120" w:after="60"/>
        <w:jc w:val="center"/>
        <w:rPr/>
      </w:pPr>
      <w:r>
        <w:rPr/>
        <w:drawing>
          <wp:inline distT="0" distB="0" distL="0" distR="0">
            <wp:extent cx="2476500" cy="5362575"/>
            <wp:effectExtent l="0" t="0" r="0" b="0"/>
            <wp:docPr id="6" name="web_movil.png" descr="Figura 6&#10;Vista e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eb_movil.png" descr="Figura 6&#10;Vista en celular."/>
                    <pic:cNvPicPr>
                      <a:picLocks noChangeAspect="1" noChangeArrowheads="1"/>
                    </pic:cNvPicPr>
                  </pic:nvPicPr>
                  <pic:blipFill>
                    <a:blip r:embed="rId7"/>
                    <a:stretch>
                      <a:fillRect/>
                    </a:stretch>
                  </pic:blipFill>
                  <pic:spPr bwMode="auto">
                    <a:xfrm>
                      <a:off x="0" y="0"/>
                      <a:ext cx="2476500" cy="5362575"/>
                    </a:xfrm>
                    <a:prstGeom prst="rect">
                      <a:avLst/>
                    </a:prstGeom>
                  </pic:spPr>
                </pic:pic>
              </a:graphicData>
            </a:graphic>
          </wp:inline>
        </w:drawing>
      </w:r>
    </w:p>
    <w:p>
      <w:pPr>
        <w:pStyle w:val="Normal"/>
        <w:spacing w:before="0" w:after="200"/>
        <w:jc w:val="center"/>
        <w:rPr/>
      </w:pPr>
      <w:r>
        <w:rPr>
          <w:b/>
          <w:bCs/>
          <w:color w:val="52514E"/>
          <w:sz w:val="18"/>
          <w:szCs w:val="18"/>
        </w:rPr>
        <w:t xml:space="preserve">Figura 6. </w:t>
      </w:r>
      <w:r>
        <w:rPr>
          <w:i/>
          <w:iCs/>
          <w:color w:val="52514E"/>
          <w:sz w:val="18"/>
          <w:szCs w:val="18"/>
        </w:rPr>
        <w:t>Vista en celular.</w:t>
      </w:r>
      <w:r>
        <w:br w:type="page"/>
      </w:r>
    </w:p>
    <w:p>
      <w:pPr>
        <w:pStyle w:val="Heading1"/>
        <w:rPr/>
      </w:pPr>
      <w:bookmarkStart w:id="26" w:name="__RefHeading___Toc3175_1804765426"/>
      <w:bookmarkEnd w:id="26"/>
      <w:r>
        <w:rPr/>
        <w:t>9. Automatización y puesta en marcha</w:t>
      </w:r>
    </w:p>
    <w:p>
      <w:pPr>
        <w:pStyle w:val="Heading2"/>
        <w:rPr/>
      </w:pPr>
      <w:bookmarkStart w:id="27" w:name="__RefHeading___Toc3177_1804765426"/>
      <w:bookmarkEnd w:id="27"/>
      <w:r>
        <w:rPr/>
        <w:t>9.1. Workflows de GitHub Actions</w:t>
      </w:r>
    </w:p>
    <w:tbl>
      <w:tblPr>
        <w:tblW w:w="9638" w:type="dxa"/>
        <w:jc w:val="left"/>
        <w:tblInd w:w="0" w:type="dxa"/>
        <w:tblLayout w:type="fixed"/>
        <w:tblCellMar>
          <w:top w:w="60" w:type="dxa"/>
          <w:left w:w="100" w:type="dxa"/>
          <w:bottom w:w="60" w:type="dxa"/>
          <w:right w:w="100" w:type="dxa"/>
        </w:tblCellMar>
      </w:tblPr>
      <w:tblGrid>
        <w:gridCol w:w="2699"/>
        <w:gridCol w:w="3000"/>
        <w:gridCol w:w="3939"/>
      </w:tblGrid>
      <w:tr>
        <w:trPr>
          <w:tblHeader w:val="true"/>
        </w:trPr>
        <w:tc>
          <w:tcPr>
            <w:tcW w:w="26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Workflow</w:t>
            </w:r>
          </w:p>
        </w:tc>
        <w:tc>
          <w:tcPr>
            <w:tcW w:w="30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Cuándo se ejecuta</w:t>
            </w:r>
          </w:p>
        </w:tc>
        <w:tc>
          <w:tcPr>
            <w:tcW w:w="393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Qué hace</w:t>
            </w:r>
          </w:p>
        </w:tc>
      </w:tr>
      <w:tr>
        <w:trPr/>
        <w:tc>
          <w:tcPr>
            <w:tcW w:w="26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Actualizar monitor (actualizar.yml)</w:t>
            </w:r>
          </w:p>
        </w:tc>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Cada 6 horas (00:17, 06:17, 12:17, 18:17 UTC), manualmente o al cambiar la configuración o los CSV</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Ejecuta las pruebas, recolecta, clasifica, calcula el semáforo, guarda los datos y publica la web.</w:t>
            </w:r>
          </w:p>
        </w:tc>
      </w:tr>
      <w:tr>
        <w:trPr/>
        <w:tc>
          <w:tcPr>
            <w:tcW w:w="26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Completar histórico (historico.yml)</w:t>
            </w:r>
          </w:p>
        </w:tc>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Cada hora, hasta completar el histórico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Descarga por partes el histórico de GDELT; cuando está completo, termina en segundos.</w:t>
            </w:r>
          </w:p>
        </w:tc>
      </w:tr>
      <w:tr>
        <w:trPr/>
        <w:tc>
          <w:tcPr>
            <w:tcW w:w="26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Verificar cambios (verificar.yml)</w:t>
            </w:r>
          </w:p>
        </w:tc>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En cada cambio de la rama de desarrollo y en los Pull Requests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 los cambios con datos reales sin modificar la plataforma publicada.</w:t>
            </w:r>
          </w:p>
        </w:tc>
      </w:tr>
    </w:tbl>
    <w:p>
      <w:pPr>
        <w:pStyle w:val="Heading2"/>
        <w:rPr/>
      </w:pPr>
      <w:bookmarkStart w:id="28" w:name="__RefHeading___Toc3179_1804765426"/>
      <w:bookmarkEnd w:id="28"/>
      <w:r>
        <w:rPr/>
        <w:t>9.2. Configuración realizada por el autor</w:t>
      </w:r>
    </w:p>
    <w:p>
      <w:pPr>
        <w:pStyle w:val="Normal"/>
        <w:spacing w:lineRule="exact" w:line="290" w:before="0" w:after="120"/>
        <w:rPr/>
      </w:pPr>
      <w:r>
        <w:rPr/>
        <w:t>La puesta en marcha requirió cinco acciones del autor en la web de GitHub, guiadas paso a paso:</w:t>
      </w:r>
    </w:p>
    <w:p>
      <w:pPr>
        <w:pStyle w:val="ListParagraph"/>
        <w:numPr>
          <w:ilvl w:val="0"/>
          <w:numId w:val="13"/>
        </w:numPr>
        <w:spacing w:before="0" w:after="60"/>
        <w:rPr/>
      </w:pPr>
      <w:r>
        <w:rPr/>
        <w:t>Autorizar a la aplicación de Claude a escribir en el repositorio (resolvió el error 403).</w:t>
      </w:r>
    </w:p>
    <w:p>
      <w:pPr>
        <w:pStyle w:val="ListParagraph"/>
        <w:numPr>
          <w:ilvl w:val="0"/>
          <w:numId w:val="5"/>
        </w:numPr>
        <w:spacing w:before="0" w:after="60"/>
        <w:rPr/>
      </w:pPr>
      <w:r>
        <w:rPr/>
        <w:t>Activar GitHub Pages con el origen «GitHub Actions».</w:t>
      </w:r>
    </w:p>
    <w:p>
      <w:pPr>
        <w:pStyle w:val="ListParagraph"/>
        <w:numPr>
          <w:ilvl w:val="0"/>
          <w:numId w:val="5"/>
        </w:numPr>
        <w:spacing w:before="0" w:after="60"/>
        <w:rPr/>
      </w:pPr>
      <w:r>
        <w:rPr/>
        <w:t>Dar permisos de lectura y escritura a los workflows.</w:t>
      </w:r>
    </w:p>
    <w:p>
      <w:pPr>
        <w:pStyle w:val="ListParagraph"/>
        <w:numPr>
          <w:ilvl w:val="0"/>
          <w:numId w:val="5"/>
        </w:numPr>
        <w:spacing w:before="0" w:after="60"/>
        <w:rPr/>
      </w:pPr>
      <w:r>
        <w:rPr/>
        <w:t xml:space="preserve">Marcar la rama </w:t>
      </w:r>
      <w:r>
        <w:rPr>
          <w:rFonts w:eastAsia="Consolas" w:cs="Consolas" w:ascii="Consolas" w:hAnsi="Consolas"/>
          <w:sz w:val="19"/>
          <w:szCs w:val="19"/>
        </w:rPr>
        <w:t>main</w:t>
      </w:r>
      <w:r>
        <w:rPr/>
        <w:t xml:space="preserve"> como rama principal.</w:t>
      </w:r>
    </w:p>
    <w:p>
      <w:pPr>
        <w:pStyle w:val="ListParagraph"/>
        <w:numPr>
          <w:ilvl w:val="0"/>
          <w:numId w:val="5"/>
        </w:numPr>
        <w:spacing w:before="0" w:after="60"/>
        <w:rPr/>
      </w:pPr>
      <w:r>
        <w:rPr/>
        <w:t xml:space="preserve">Autorizar a </w:t>
      </w:r>
      <w:r>
        <w:rPr>
          <w:rFonts w:eastAsia="Consolas" w:cs="Consolas" w:ascii="Consolas" w:hAnsi="Consolas"/>
          <w:sz w:val="19"/>
          <w:szCs w:val="19"/>
        </w:rPr>
        <w:t>main</w:t>
      </w:r>
      <w:r>
        <w:rPr/>
        <w:t xml:space="preserve"> a publicar en el entorno </w:t>
      </w:r>
      <w:r>
        <w:rPr>
          <w:rFonts w:eastAsia="Consolas" w:cs="Consolas" w:ascii="Consolas" w:hAnsi="Consolas"/>
          <w:sz w:val="19"/>
          <w:szCs w:val="19"/>
        </w:rPr>
        <w:t>github-pages</w:t>
      </w:r>
      <w:r>
        <w:rPr/>
        <w:t>.</w:t>
      </w:r>
    </w:p>
    <w:p>
      <w:pPr>
        <w:pStyle w:val="Normal"/>
        <w:keepNext w:val="true"/>
        <w:spacing w:before="120" w:after="60"/>
        <w:jc w:val="center"/>
        <w:rPr/>
      </w:pPr>
      <w:r>
        <w:rPr/>
        <w:drawing>
          <wp:inline distT="0" distB="0" distL="0" distR="0">
            <wp:extent cx="5715000" cy="2809875"/>
            <wp:effectExtent l="0" t="0" r="0" b="0"/>
            <wp:docPr id="7" name="github_pages_origen.png" descr="Figura 7&#10;Configuración de GitHub Pages antes del cambio (origen «Deploy from a 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ithub_pages_origen.png" descr="Figura 7&#10;Configuración de GitHub Pages antes del cambio (origen «Deploy from a branch»)."/>
                    <pic:cNvPicPr>
                      <a:picLocks noChangeAspect="1" noChangeArrowheads="1"/>
                    </pic:cNvPicPr>
                  </pic:nvPicPr>
                  <pic:blipFill>
                    <a:blip r:embed="rId8"/>
                    <a:stretch>
                      <a:fillRect/>
                    </a:stretch>
                  </pic:blipFill>
                  <pic:spPr bwMode="auto">
                    <a:xfrm>
                      <a:off x="0" y="0"/>
                      <a:ext cx="5715000" cy="2809875"/>
                    </a:xfrm>
                    <a:prstGeom prst="rect">
                      <a:avLst/>
                    </a:prstGeom>
                  </pic:spPr>
                </pic:pic>
              </a:graphicData>
            </a:graphic>
          </wp:inline>
        </w:drawing>
      </w:r>
    </w:p>
    <w:p>
      <w:pPr>
        <w:pStyle w:val="Normal"/>
        <w:spacing w:before="0" w:after="200"/>
        <w:jc w:val="center"/>
        <w:rPr/>
      </w:pPr>
      <w:r>
        <w:rPr>
          <w:b/>
          <w:bCs/>
          <w:color w:val="52514E"/>
          <w:sz w:val="18"/>
          <w:szCs w:val="18"/>
        </w:rPr>
        <w:t xml:space="preserve">Figura 7. </w:t>
      </w:r>
      <w:r>
        <w:rPr>
          <w:i/>
          <w:iCs/>
          <w:color w:val="52514E"/>
          <w:sz w:val="18"/>
          <w:szCs w:val="18"/>
        </w:rPr>
        <w:t>Configuración de GitHub Pages antes del cambio (origen «Deploy from a branch»).</w:t>
      </w:r>
    </w:p>
    <w:p>
      <w:pPr>
        <w:pStyle w:val="Normal"/>
        <w:keepNext w:val="true"/>
        <w:spacing w:before="120" w:after="60"/>
        <w:jc w:val="center"/>
        <w:rPr/>
      </w:pPr>
      <w:r>
        <w:rPr/>
        <w:drawing>
          <wp:inline distT="0" distB="0" distL="0" distR="0">
            <wp:extent cx="5715000" cy="1419225"/>
            <wp:effectExtent l="0" t="0" r="0" b="0"/>
            <wp:docPr id="8" name="github_pages_menu.png" descr="Figura 8&#10;Selección del origen «GitHub Actions» para GitHub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ithub_pages_menu.png" descr="Figura 8&#10;Selección del origen «GitHub Actions» para GitHub Pages."/>
                    <pic:cNvPicPr>
                      <a:picLocks noChangeAspect="1" noChangeArrowheads="1"/>
                    </pic:cNvPicPr>
                  </pic:nvPicPr>
                  <pic:blipFill>
                    <a:blip r:embed="rId9"/>
                    <a:stretch>
                      <a:fillRect/>
                    </a:stretch>
                  </pic:blipFill>
                  <pic:spPr bwMode="auto">
                    <a:xfrm>
                      <a:off x="0" y="0"/>
                      <a:ext cx="5715000" cy="1419225"/>
                    </a:xfrm>
                    <a:prstGeom prst="rect">
                      <a:avLst/>
                    </a:prstGeom>
                  </pic:spPr>
                </pic:pic>
              </a:graphicData>
            </a:graphic>
          </wp:inline>
        </w:drawing>
      </w:r>
    </w:p>
    <w:p>
      <w:pPr>
        <w:pStyle w:val="Normal"/>
        <w:spacing w:before="0" w:after="200"/>
        <w:jc w:val="center"/>
        <w:rPr/>
      </w:pPr>
      <w:r>
        <w:rPr>
          <w:b/>
          <w:bCs/>
          <w:color w:val="52514E"/>
          <w:sz w:val="18"/>
          <w:szCs w:val="18"/>
        </w:rPr>
        <w:t xml:space="preserve">Figura 8. </w:t>
      </w:r>
      <w:r>
        <w:rPr>
          <w:i/>
          <w:iCs/>
          <w:color w:val="52514E"/>
          <w:sz w:val="18"/>
          <w:szCs w:val="18"/>
        </w:rPr>
        <w:t>Selección del origen «GitHub Actions» para GitHub Pages.</w:t>
      </w:r>
    </w:p>
    <w:p>
      <w:pPr>
        <w:pStyle w:val="Heading2"/>
        <w:rPr/>
      </w:pPr>
      <w:bookmarkStart w:id="29" w:name="__RefHeading___Toc3181_1804765426"/>
      <w:bookmarkEnd w:id="29"/>
      <w:r>
        <w:rPr/>
        <w:t>9.3. Flujo de cambios con Pull Requests</w:t>
      </w:r>
    </w:p>
    <w:p>
      <w:pPr>
        <w:pStyle w:val="Normal"/>
        <w:spacing w:lineRule="exact" w:line="290" w:before="0" w:after="120"/>
        <w:rPr/>
      </w:pPr>
      <w:r>
        <w:rPr/>
        <w:t xml:space="preserve">Los cambios se desarrollan en una rama de trabajo y llegan a </w:t>
      </w:r>
      <w:r>
        <w:rPr>
          <w:rFonts w:eastAsia="Consolas" w:cs="Consolas" w:ascii="Consolas" w:hAnsi="Consolas"/>
          <w:sz w:val="19"/>
          <w:szCs w:val="19"/>
        </w:rPr>
        <w:t>main</w:t>
      </w:r>
      <w:r>
        <w:rPr/>
        <w:t xml:space="preserve"> mediante un </w:t>
      </w:r>
      <w:r>
        <w:rPr>
          <w:b/>
          <w:bCs/>
        </w:rPr>
        <w:t>Pull Request</w:t>
      </w:r>
      <w:r>
        <w:rPr/>
        <w:t xml:space="preserve"> que el autor revisa y aprueba. El primero (#1) incorporó la decisión técnica sobre GDELT.</w:t>
      </w:r>
    </w:p>
    <w:p>
      <w:pPr>
        <w:pStyle w:val="Normal"/>
        <w:keepNext w:val="true"/>
        <w:spacing w:before="120" w:after="60"/>
        <w:jc w:val="center"/>
        <w:rPr/>
      </w:pPr>
      <w:r>
        <w:rPr/>
        <w:drawing>
          <wp:inline distT="0" distB="0" distL="0" distR="0">
            <wp:extent cx="5715000" cy="2562225"/>
            <wp:effectExtent l="0" t="0" r="0" b="0"/>
            <wp:docPr id="9" name="pull_request.png" descr="Figura 9&#10;Pull Request #1 en GitHub (interfaz traducida automáticamente al español por 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ull_request.png" descr="Figura 9&#10;Pull Request #1 en GitHub (interfaz traducida automáticamente al español por el navegador)."/>
                    <pic:cNvPicPr>
                      <a:picLocks noChangeAspect="1" noChangeArrowheads="1"/>
                    </pic:cNvPicPr>
                  </pic:nvPicPr>
                  <pic:blipFill>
                    <a:blip r:embed="rId10"/>
                    <a:stretch>
                      <a:fillRect/>
                    </a:stretch>
                  </pic:blipFill>
                  <pic:spPr bwMode="auto">
                    <a:xfrm>
                      <a:off x="0" y="0"/>
                      <a:ext cx="5715000" cy="2562225"/>
                    </a:xfrm>
                    <a:prstGeom prst="rect">
                      <a:avLst/>
                    </a:prstGeom>
                  </pic:spPr>
                </pic:pic>
              </a:graphicData>
            </a:graphic>
          </wp:inline>
        </w:drawing>
      </w:r>
    </w:p>
    <w:p>
      <w:pPr>
        <w:pStyle w:val="Normal"/>
        <w:spacing w:before="0" w:after="200"/>
        <w:jc w:val="center"/>
        <w:rPr/>
      </w:pPr>
      <w:r>
        <w:rPr>
          <w:b/>
          <w:bCs/>
          <w:color w:val="52514E"/>
          <w:sz w:val="18"/>
          <w:szCs w:val="18"/>
        </w:rPr>
        <w:t xml:space="preserve">Figura 9. </w:t>
      </w:r>
      <w:r>
        <w:rPr>
          <w:i/>
          <w:iCs/>
          <w:color w:val="52514E"/>
          <w:sz w:val="18"/>
          <w:szCs w:val="18"/>
        </w:rPr>
        <w:t>Pull Request #1 en GitHub (interfaz traducida automáticamente al español por el navegador).</w:t>
      </w:r>
    </w:p>
    <w:p>
      <w:pPr>
        <w:pStyle w:val="Normal"/>
        <w:keepNext w:val="true"/>
        <w:spacing w:before="120" w:after="60"/>
        <w:jc w:val="center"/>
        <w:rPr/>
      </w:pPr>
      <w:r>
        <w:rPr/>
        <w:drawing>
          <wp:inline distT="0" distB="0" distL="0" distR="0">
            <wp:extent cx="5715000" cy="2952750"/>
            <wp:effectExtent l="0" t="0" r="0" b="0"/>
            <wp:docPr id="10" name="pull_request_fusion.png" descr="Figura 10&#10;Fusión del Pull Request: se mantiene la opción «Crear una confirmación de f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ll_request_fusion.png" descr="Figura 10&#10;Fusión del Pull Request: se mantiene la opción «Crear una confirmación de fusión»."/>
                    <pic:cNvPicPr>
                      <a:picLocks noChangeAspect="1" noChangeArrowheads="1"/>
                    </pic:cNvPicPr>
                  </pic:nvPicPr>
                  <pic:blipFill>
                    <a:blip r:embed="rId11"/>
                    <a:stretch>
                      <a:fillRect/>
                    </a:stretch>
                  </pic:blipFill>
                  <pic:spPr bwMode="auto">
                    <a:xfrm>
                      <a:off x="0" y="0"/>
                      <a:ext cx="5715000" cy="2952750"/>
                    </a:xfrm>
                    <a:prstGeom prst="rect">
                      <a:avLst/>
                    </a:prstGeom>
                  </pic:spPr>
                </pic:pic>
              </a:graphicData>
            </a:graphic>
          </wp:inline>
        </w:drawing>
      </w:r>
    </w:p>
    <w:p>
      <w:pPr>
        <w:pStyle w:val="Normal"/>
        <w:spacing w:before="0" w:after="200"/>
        <w:jc w:val="center"/>
        <w:rPr/>
      </w:pPr>
      <w:r>
        <w:rPr>
          <w:b/>
          <w:bCs/>
          <w:color w:val="52514E"/>
          <w:sz w:val="18"/>
          <w:szCs w:val="18"/>
        </w:rPr>
        <w:t xml:space="preserve">Figura 10. </w:t>
      </w:r>
      <w:r>
        <w:rPr>
          <w:i/>
          <w:iCs/>
          <w:color w:val="52514E"/>
          <w:sz w:val="18"/>
          <w:szCs w:val="18"/>
        </w:rPr>
        <w:t>Fusión del Pull Request: se mantiene la opción «Crear una confirmación de fusión».</w:t>
      </w:r>
      <w:r>
        <w:br w:type="page"/>
      </w:r>
    </w:p>
    <w:p>
      <w:pPr>
        <w:pStyle w:val="Heading1"/>
        <w:rPr/>
      </w:pPr>
      <w:bookmarkStart w:id="30" w:name="__RefHeading___Toc3183_1804765426"/>
      <w:bookmarkEnd w:id="30"/>
      <w:r>
        <w:rPr/>
        <w:t>10. Pruebas y verificación</w:t>
      </w:r>
    </w:p>
    <w:p>
      <w:pPr>
        <w:pStyle w:val="Heading2"/>
        <w:rPr/>
      </w:pPr>
      <w:bookmarkStart w:id="31" w:name="__RefHeading___Toc3185_1804765426"/>
      <w:bookmarkEnd w:id="31"/>
      <w:r>
        <w:rPr/>
        <w:t>10.1. Pruebas automáticas</w:t>
      </w:r>
    </w:p>
    <w:p>
      <w:pPr>
        <w:pStyle w:val="Normal"/>
        <w:spacing w:lineRule="exact" w:line="290" w:before="0" w:after="120"/>
        <w:rPr/>
      </w:pPr>
      <w:r>
        <w:rPr/>
        <w:t xml:space="preserve">El archivo </w:t>
      </w:r>
      <w:r>
        <w:rPr>
          <w:rFonts w:eastAsia="Consolas" w:cs="Consolas" w:ascii="Consolas" w:hAnsi="Consolas"/>
          <w:sz w:val="19"/>
          <w:szCs w:val="19"/>
        </w:rPr>
        <w:t>tests/test_reglas.py</w:t>
      </w:r>
      <w:r>
        <w:rPr/>
        <w:t xml:space="preserve"> contiene 19 pruebas que se ejecutan antes de cada revisión. Si alguna falla, la revisión se detiene y la web publicada no cambia.</w:t>
      </w:r>
    </w:p>
    <w:tbl>
      <w:tblPr>
        <w:tblW w:w="9638" w:type="dxa"/>
        <w:jc w:val="left"/>
        <w:tblInd w:w="0" w:type="dxa"/>
        <w:tblLayout w:type="fixed"/>
        <w:tblCellMar>
          <w:top w:w="60" w:type="dxa"/>
          <w:left w:w="100" w:type="dxa"/>
          <w:bottom w:w="60" w:type="dxa"/>
          <w:right w:w="100" w:type="dxa"/>
        </w:tblCellMar>
      </w:tblPr>
      <w:tblGrid>
        <w:gridCol w:w="2600"/>
        <w:gridCol w:w="7037"/>
      </w:tblGrid>
      <w:tr>
        <w:trPr>
          <w:tblHeader w:val="true"/>
        </w:trPr>
        <w:tc>
          <w:tcPr>
            <w:tcW w:w="26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Prueba</w:t>
            </w:r>
          </w:p>
        </w:tc>
        <w:tc>
          <w:tcPr>
            <w:tcW w:w="7037"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Qué comprueba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Hecho geopolítico</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«embajada argentina a Jerusalén» se clasifica como geopolítico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Geo débil</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«Argentina votó en la ONU…» (1 punto) se descarta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 Argentina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Noticias de Hamás o Irán sin Argentina no suman puntos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detecta como ataque y se asigna T1491.002</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DDoS gob.ar</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detecta el grupo Cyber Dragonz y se asigna T1498</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REM</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Solo cuenta en mayúsculas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 sin Argentina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 ransomware en Alemania no es ataque contra Argentina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Verde</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 ataque sin detonante genera solo una alerta informativa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Corroboración</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Una sola fuente no alcanza para un día detonante</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Amarillo → rojo → verde</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Secuencia completa de niveles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Hecho clave</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 hecho clave abre la ventana por sí solo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Fusión de ventanas</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Detonantes cercanos forman un único período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Ventana configurable</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 3 días, la ventana se cierra antes</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Evaluación</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Cálculo de cobertura, razón y anticipación por tipo de actor</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Incidentes sin fecha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 entran al cálculo ni a la línea de tiempo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Filtro por confianza</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variante media/alta excluye los incidentes de confianza baja</w:t>
            </w:r>
          </w:p>
        </w:tc>
      </w:tr>
    </w:tbl>
    <w:p>
      <w:pPr>
        <w:pStyle w:val="Heading2"/>
        <w:rPr/>
      </w:pPr>
      <w:bookmarkStart w:id="32" w:name="__RefHeading___Toc3187_1804765426"/>
      <w:bookmarkEnd w:id="32"/>
      <w:r>
        <w:rPr/>
        <w:t>10.2. Verificaciones con datos reales</w:t>
      </w:r>
    </w:p>
    <w:tbl>
      <w:tblPr>
        <w:tblW w:w="9638" w:type="dxa"/>
        <w:jc w:val="left"/>
        <w:tblInd w:w="0" w:type="dxa"/>
        <w:tblLayout w:type="fixed"/>
        <w:tblCellMar>
          <w:top w:w="60" w:type="dxa"/>
          <w:left w:w="100" w:type="dxa"/>
          <w:bottom w:w="60" w:type="dxa"/>
          <w:right w:w="100" w:type="dxa"/>
        </w:tblCellMar>
      </w:tblPr>
      <w:tblGrid>
        <w:gridCol w:w="2600"/>
        <w:gridCol w:w="2400"/>
        <w:gridCol w:w="4638"/>
      </w:tblGrid>
      <w:tr>
        <w:trPr>
          <w:tblHeader w:val="true"/>
        </w:trPr>
        <w:tc>
          <w:tcPr>
            <w:tcW w:w="26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Ejecución</w:t>
            </w:r>
          </w:p>
        </w:tc>
        <w:tc>
          <w:tcPr>
            <w:tcW w:w="24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Resultado</w:t>
            </w:r>
          </w:p>
        </w:tc>
        <w:tc>
          <w:tcPr>
            <w:tcW w:w="46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Observación</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 de fuentes</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Éxito</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6 RSS operativos; GDELT con historial y límite de uso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1 y 2</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Cortadas a los 30 min</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Midieron la lentitud de GDELT y motivaron el rediseño del histórico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3</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Éxito</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Detención controlada ante rechazos de GDELT; detección del ataque a la AFA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Diagnóstico GDELT</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Éxito</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de 5 consultas rechazadas; GDELT pasa a ser complementario en vivo</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Primera revisión oficial</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Revisión OK; publicación rechazada</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Regla del entorno github-pages (resuelta)</w:t>
            </w:r>
          </w:p>
        </w:tc>
      </w:tr>
      <w:tr>
        <w:trPr/>
        <w:tc>
          <w:tcPr>
            <w:tcW w:w="2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Segunda revisión oficial</w:t>
            </w:r>
          </w:p>
        </w:tc>
        <w:tc>
          <w:tcPr>
            <w:tcW w:w="2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Éxito</w:t>
            </w:r>
          </w:p>
        </w:tc>
        <w:tc>
          <w:tcPr>
            <w:tcW w:w="46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Plataforma publicada</w:t>
            </w:r>
          </w:p>
        </w:tc>
      </w:tr>
    </w:tbl>
    <w:p>
      <w:pPr>
        <w:pStyle w:val="Heading1"/>
        <w:rPr/>
      </w:pPr>
      <w:r>
        <w:br w:type="page"/>
      </w:r>
      <w:bookmarkStart w:id="33" w:name="__RefHeading___Toc3189_1804765426"/>
      <w:bookmarkEnd w:id="33"/>
      <w:r>
        <w:rPr/>
        <w:t>11. Problemas encontrados y soluciones</w:t>
      </w:r>
    </w:p>
    <w:tbl>
      <w:tblPr>
        <w:tblW w:w="9638" w:type="dxa"/>
        <w:jc w:val="left"/>
        <w:tblInd w:w="0" w:type="dxa"/>
        <w:tblLayout w:type="fixed"/>
        <w:tblCellMar>
          <w:top w:w="60" w:type="dxa"/>
          <w:left w:w="100" w:type="dxa"/>
          <w:bottom w:w="60" w:type="dxa"/>
          <w:right w:w="100" w:type="dxa"/>
        </w:tblCellMar>
      </w:tblPr>
      <w:tblGrid>
        <w:gridCol w:w="3000"/>
        <w:gridCol w:w="3200"/>
        <w:gridCol w:w="3438"/>
      </w:tblGrid>
      <w:tr>
        <w:trPr>
          <w:tblHeader w:val="true"/>
        </w:trPr>
        <w:tc>
          <w:tcPr>
            <w:tcW w:w="30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Problema</w:t>
            </w:r>
          </w:p>
        </w:tc>
        <w:tc>
          <w:tcPr>
            <w:tcW w:w="32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Causa</w:t>
            </w:r>
          </w:p>
        </w:tc>
        <w:tc>
          <w:tcPr>
            <w:tcW w:w="34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Solución</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entorno de desarrollo no accede a los feeds</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Red restringida del entorno en la nube</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Probar y ejecutar todo desde GitHub Actions</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Error 403 al subir el código</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app de Claude no tenía permiso sobre el repositorio</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instaló o reconectó la Claude GitHub App</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URLs de feeds con error 404</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Rutas antiguas de WeLiveSecurity e Infobae</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usaron las rutas vigentes</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GDELT rechaza consultas (HTTP 429)</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Límite de uso por IP en servidores compartidos</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Reintentos con espera, consultas unificadas y descarga por partes</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Verificaciones cortadas a los 30 minutos</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Descarga del histórico demasiado lenta</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Presupuesto de tiempo, progreso reanudable y workflow horario</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Mensajes del programa invisibles en GitHub</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Salida de Python con búfer</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Variable PYTHONUNBUFFERED=1</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rama principal era la de desarrollo</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repositorio estaba vacío al empezar</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creó main y el autor la marcó como principal</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Publicación de la web rechazada</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entorno github-pages solo autorizaba la rama original</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agregó main a las reglas del entorno</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Confusión entre configuración de cuenta y de repositorio</w:t>
            </w:r>
          </w:p>
        </w:tc>
        <w:tc>
          <w:tcPr>
            <w:tcW w:w="32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Hay dos menús «Settings» distintos en GitHub</w:t>
            </w:r>
          </w:p>
        </w:tc>
        <w:tc>
          <w:tcPr>
            <w:tcW w:w="3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Enlaces directos a cada pantalla</w:t>
            </w:r>
          </w:p>
        </w:tc>
      </w:tr>
    </w:tbl>
    <w:p>
      <w:pPr>
        <w:pStyle w:val="Heading1"/>
        <w:rPr/>
      </w:pPr>
      <w:r>
        <w:br w:type="page"/>
      </w:r>
      <w:bookmarkStart w:id="34" w:name="__RefHeading___Toc3191_1804765426"/>
      <w:bookmarkEnd w:id="34"/>
      <w:r>
        <w:rPr/>
        <w:t>12. Decisiones técnicas</w:t>
      </w:r>
    </w:p>
    <w:p>
      <w:pPr>
        <w:pStyle w:val="Normal"/>
        <w:spacing w:lineRule="exact" w:line="290" w:before="0" w:after="120"/>
        <w:rPr/>
      </w:pPr>
      <w:r>
        <w:rPr/>
        <w:t xml:space="preserve">Las decisiones completas, con alternativas descartadas y consecuencias, están en </w:t>
      </w:r>
      <w:r>
        <w:rPr>
          <w:rFonts w:eastAsia="Consolas" w:cs="Consolas" w:ascii="Consolas" w:hAnsi="Consolas"/>
          <w:sz w:val="19"/>
          <w:szCs w:val="19"/>
        </w:rPr>
        <w:t>docs/decisiones_tecnicas.md</w:t>
      </w:r>
      <w:r>
        <w:rPr/>
        <w:t>. Resumen:</w:t>
      </w:r>
    </w:p>
    <w:tbl>
      <w:tblPr>
        <w:tblW w:w="9638" w:type="dxa"/>
        <w:jc w:val="left"/>
        <w:tblInd w:w="0" w:type="dxa"/>
        <w:tblLayout w:type="fixed"/>
        <w:tblCellMar>
          <w:top w:w="60" w:type="dxa"/>
          <w:left w:w="100" w:type="dxa"/>
          <w:bottom w:w="60" w:type="dxa"/>
          <w:right w:w="100" w:type="dxa"/>
        </w:tblCellMar>
      </w:tblPr>
      <w:tblGrid>
        <w:gridCol w:w="1099"/>
        <w:gridCol w:w="4600"/>
        <w:gridCol w:w="3939"/>
      </w:tblGrid>
      <w:tr>
        <w:trPr>
          <w:tblHeader w:val="true"/>
        </w:trPr>
        <w:tc>
          <w:tcPr>
            <w:tcW w:w="10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Id</w:t>
            </w:r>
          </w:p>
        </w:tc>
        <w:tc>
          <w:tcPr>
            <w:tcW w:w="46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Decisión</w:t>
            </w:r>
          </w:p>
        </w:tc>
        <w:tc>
          <w:tcPr>
            <w:tcW w:w="393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Motivo principal</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Actions + Pages, sin servidores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Costo cero, sin mantenimiento, auditable</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Datos versionados en el propio repositorio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Trazabilidad y reproducibilidad</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D3</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Python con solo dos dependencias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Simplicidad y menor superficie de ataque</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D4</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Web sin librerías ni CDN</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Robustez y privacidad del visitante</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D5</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Lógica de alertas solo en Python</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Una única fuente de verdad, probada</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D6</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 en JSON</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analista ajusta el modelo sin programar</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D7</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Seis feeds validados con diagnóstico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Detectar caídas de fuentes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D8</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GDELT con reintentos y orden por relevancia</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Límite de uso estricto</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D8b</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RSS como fuente principal en vivo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 del diagnóstico de GDELT</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D9</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Histórico por partes y reanudable</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Cumplir límites sin perder progreso</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D10</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Archivo propio de noticias en vivo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Los RSS no guardan historia</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D11</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Carga manual de incidentes y hechos clave</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Telegram/X fuera de alcance; sin datos inventados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D12–D16</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Normalización, puntaje, corroboración, reglas de ataque, REM</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Reducir falsos positivos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D17</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Mapeo MITRE por reglas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Comparabilidad con informes de CTI</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D18–D20</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Ventanas fusionables, rojo persistente, alertas informativas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Coherencia operativa y evaluación del modelo</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D21–D24</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Horarios, workflows separados, pruebas, secretos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Calidad y seguridad</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D25</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Diseño de la Fase 2 (Haiku clasifica, Sonnet informa)</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Comparar IA con reglas y controlar el costo</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D26</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Grupo de comparación por tipo de actor</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Evitar sesgo de confirmación</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D27</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Incidentes sin fecha fuera del cálculo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 distorsionar la evaluación</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D28</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Período extendido hasta la actualidad</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Incluir la ola de ataques de agosto de 2024</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D29</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Evaluación con y sin incidentes de confianza baja</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Robustez de las conclusiones</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D30</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del autor y confianza derivada del código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análisis del autor reemplaza la estimación inicial</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D31</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 evento por día en noticias detectadas</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Evitar contar varias veces el mismo ataque</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D32</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Resultados que cambian con el histórico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Interpretación prudente y recalibración</w:t>
            </w:r>
          </w:p>
        </w:tc>
      </w:tr>
      <w:tr>
        <w:trPr/>
        <w:tc>
          <w:tcPr>
            <w:tcW w:w="10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D33</w:t>
            </w:r>
          </w:p>
        </w:tc>
        <w:tc>
          <w:tcPr>
            <w:tcW w:w="46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Incidentes descartados con motivo, fuera del cálculo</w:t>
            </w:r>
          </w:p>
        </w:tc>
        <w:tc>
          <w:tcPr>
            <w:tcW w:w="393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Trazabilidad del análisis</w:t>
            </w:r>
          </w:p>
        </w:tc>
      </w:tr>
    </w:tbl>
    <w:p>
      <w:pPr>
        <w:pStyle w:val="Heading1"/>
        <w:rPr/>
      </w:pPr>
      <w:r>
        <w:br w:type="page"/>
      </w:r>
      <w:bookmarkStart w:id="35" w:name="__RefHeading___Toc3193_1804765426"/>
      <w:bookmarkEnd w:id="35"/>
      <w:r>
        <w:rPr/>
        <w:t>13. Estado actual y próximos pasos</w:t>
      </w:r>
    </w:p>
    <w:p>
      <w:pPr>
        <w:pStyle w:val="Heading2"/>
        <w:rPr/>
      </w:pPr>
      <w:bookmarkStart w:id="36" w:name="__RefHeading___Toc3195_1804765426"/>
      <w:bookmarkEnd w:id="36"/>
      <w:r>
        <w:rPr/>
        <w:t>13.1. Estado</w:t>
      </w:r>
    </w:p>
    <w:p>
      <w:pPr>
        <w:pStyle w:val="ListParagraph"/>
        <w:numPr>
          <w:ilvl w:val="0"/>
          <w:numId w:val="3"/>
        </w:numPr>
        <w:spacing w:before="0" w:after="60"/>
        <w:rPr/>
      </w:pPr>
      <w:r>
        <w:rPr>
          <w:b/>
          <w:bCs/>
        </w:rPr>
        <w:t>Fase 1 completa y en producción</w:t>
      </w:r>
      <w:r>
        <w:rPr/>
        <w:t xml:space="preserve"> en https://gastonaizama.github.io/Tfm/.</w:t>
      </w:r>
    </w:p>
    <w:p>
      <w:pPr>
        <w:pStyle w:val="ListParagraph"/>
        <w:numPr>
          <w:ilvl w:val="0"/>
          <w:numId w:val="3"/>
        </w:numPr>
        <w:spacing w:before="0" w:after="60"/>
        <w:rPr/>
      </w:pPr>
      <w:r>
        <w:rPr/>
        <w:t>Revisión automática cada 6 horas; histórico de GDELT descargándose por partes.</w:t>
      </w:r>
    </w:p>
    <w:p>
      <w:pPr>
        <w:pStyle w:val="ListParagraph"/>
        <w:numPr>
          <w:ilvl w:val="0"/>
          <w:numId w:val="3"/>
        </w:numPr>
        <w:spacing w:before="0" w:after="60"/>
        <w:rPr/>
      </w:pPr>
      <w:r>
        <w:rPr/>
        <w:t xml:space="preserve">Fase 2 preparada (carpeta </w:t>
      </w:r>
      <w:r>
        <w:rPr>
          <w:rFonts w:eastAsia="Consolas" w:cs="Consolas" w:ascii="Consolas" w:hAnsi="Consolas"/>
          <w:sz w:val="19"/>
          <w:szCs w:val="19"/>
        </w:rPr>
        <w:t>monitor/ia/</w:t>
      </w:r>
      <w:r>
        <w:rPr/>
        <w:t>, interruptor en la configuración y lugar para el secreto), sin implementar.</w:t>
      </w:r>
    </w:p>
    <w:p>
      <w:pPr>
        <w:pStyle w:val="Heading2"/>
        <w:rPr/>
      </w:pPr>
      <w:bookmarkStart w:id="37" w:name="__RefHeading___Toc3197_1804765426"/>
      <w:bookmarkEnd w:id="37"/>
      <w:r>
        <w:rPr/>
        <w:t>13.2. Tareas pendientes del autor</w:t>
      </w:r>
    </w:p>
    <w:p>
      <w:pPr>
        <w:pStyle w:val="ListParagraph"/>
        <w:numPr>
          <w:ilvl w:val="0"/>
          <w:numId w:val="14"/>
        </w:numPr>
        <w:spacing w:before="0" w:after="60"/>
        <w:rPr/>
      </w:pPr>
      <w:r>
        <w:rPr>
          <w:b/>
          <w:bCs/>
        </w:rPr>
        <w:t>Cargar los ataques conocidos</w:t>
      </w:r>
      <w:r>
        <w:rPr/>
        <w:t xml:space="preserve">: </w:t>
      </w:r>
      <w:r>
        <w:rPr>
          <w:b/>
          <w:bCs/>
        </w:rPr>
        <w:t>hecho el 14/10/2026</w:t>
      </w:r>
      <w:r>
        <w:rPr/>
        <w:t xml:space="preserve"> (13 incidentes en </w:t>
      </w:r>
      <w:r>
        <w:rPr>
          <w:rFonts w:eastAsia="Consolas" w:cs="Consolas" w:ascii="Consolas" w:hAnsi="Consolas"/>
          <w:sz w:val="19"/>
          <w:szCs w:val="19"/>
        </w:rPr>
        <w:t>datos/incidentes_historicos.csv</w:t>
      </w:r>
      <w:r>
        <w:rPr/>
        <w:t>). Queda ampliarlo para el período extendido.</w:t>
      </w:r>
    </w:p>
    <w:p>
      <w:pPr>
        <w:pStyle w:val="ListParagraph"/>
        <w:numPr>
          <w:ilvl w:val="0"/>
          <w:numId w:val="6"/>
        </w:numPr>
        <w:spacing w:before="0" w:after="60"/>
        <w:rPr/>
      </w:pPr>
      <w:r>
        <w:rPr>
          <w:b/>
          <w:bCs/>
        </w:rPr>
        <w:t>Verificar los 8 hechos clave:</w:t>
      </w:r>
      <w:r>
        <w:rPr/>
        <w:t xml:space="preserve"> confirmar fechas, completar </w:t>
      </w:r>
      <w:r>
        <w:rPr>
          <w:rFonts w:eastAsia="Consolas" w:cs="Consolas" w:ascii="Consolas" w:hAnsi="Consolas"/>
          <w:sz w:val="19"/>
          <w:szCs w:val="19"/>
        </w:rPr>
        <w:t>fuente_url</w:t>
      </w:r>
      <w:r>
        <w:rPr/>
        <w:t xml:space="preserve"> y marcar </w:t>
      </w:r>
      <w:r>
        <w:rPr>
          <w:rFonts w:eastAsia="Consolas" w:cs="Consolas" w:ascii="Consolas" w:hAnsi="Consolas"/>
          <w:sz w:val="19"/>
          <w:szCs w:val="19"/>
        </w:rPr>
        <w:t>verificado = si</w:t>
      </w:r>
      <w:r>
        <w:rPr/>
        <w:t>.</w:t>
      </w:r>
    </w:p>
    <w:p>
      <w:pPr>
        <w:pStyle w:val="ListParagraph"/>
        <w:numPr>
          <w:ilvl w:val="0"/>
          <w:numId w:val="6"/>
        </w:numPr>
        <w:spacing w:before="0" w:after="60"/>
        <w:rPr/>
      </w:pPr>
      <w:r>
        <w:rPr/>
        <w:t>Completar el nombre del autor en la portada de esta memoria.</w:t>
      </w:r>
    </w:p>
    <w:p>
      <w:pPr>
        <w:pStyle w:val="ListParagraph"/>
        <w:numPr>
          <w:ilvl w:val="0"/>
          <w:numId w:val="6"/>
        </w:numPr>
        <w:spacing w:before="0" w:after="60"/>
        <w:rPr/>
      </w:pPr>
      <w:r>
        <w:rPr>
          <w:b/>
          <w:bCs/>
        </w:rPr>
        <w:t>Completar la verificación:</w:t>
      </w:r>
      <w:r>
        <w:rPr/>
        <w:t xml:space="preserve"> quedan 7 incidentes (entre ellos INC-022, AFA, e INC-013, Stucx Team, sin fecha) y los 16 hechos clave (sección 14.6).</w:t>
      </w:r>
    </w:p>
    <w:p>
      <w:pPr>
        <w:pStyle w:val="Heading2"/>
        <w:rPr/>
      </w:pPr>
      <w:bookmarkStart w:id="38" w:name="__RefHeading___Toc3199_1804765426"/>
      <w:bookmarkEnd w:id="38"/>
      <w:r>
        <w:rPr/>
        <w:t>13.3. Próximos pasos propuestos</w:t>
      </w:r>
    </w:p>
    <w:p>
      <w:pPr>
        <w:pStyle w:val="ListParagraph"/>
        <w:numPr>
          <w:ilvl w:val="0"/>
          <w:numId w:val="3"/>
        </w:numPr>
        <w:spacing w:before="0" w:after="60"/>
        <w:rPr/>
      </w:pPr>
      <w:r>
        <w:rPr>
          <w:b/>
          <w:bCs/>
        </w:rPr>
        <w:t>Evaluación del modelo:</w:t>
      </w:r>
      <w:r>
        <w:rPr/>
        <w:t xml:space="preserve"> proporción de ataques ocurridos dentro de ventanas de vigilancia, días de anticipación entre detonante y ataque, y alertas sin ataques posteriores.</w:t>
      </w:r>
    </w:p>
    <w:p>
      <w:pPr>
        <w:pStyle w:val="ListParagraph"/>
        <w:numPr>
          <w:ilvl w:val="0"/>
          <w:numId w:val="3"/>
        </w:numPr>
        <w:spacing w:before="0" w:after="60"/>
        <w:rPr/>
      </w:pPr>
      <w:r>
        <w:rPr>
          <w:b/>
          <w:bCs/>
        </w:rPr>
        <w:t>Análisis de sensibilidad:</w:t>
      </w:r>
      <w:r>
        <w:rPr/>
        <w:t xml:space="preserve"> comparar ventanas de 3, 7 y 14 días y distintos umbrales.</w:t>
      </w:r>
    </w:p>
    <w:p>
      <w:pPr>
        <w:pStyle w:val="ListParagraph"/>
        <w:numPr>
          <w:ilvl w:val="0"/>
          <w:numId w:val="3"/>
        </w:numPr>
        <w:spacing w:before="0" w:after="60"/>
        <w:rPr/>
      </w:pPr>
      <w:r>
        <w:rPr>
          <w:b/>
          <w:bCs/>
        </w:rPr>
        <w:t>Fase 2:</w:t>
      </w:r>
      <w:r>
        <w:rPr/>
        <w:t xml:space="preserve"> clasificación con Claude Haiku 5.5, informe de inteligencia con Claude Sonnet 5.5 y comparación con las reglas de la Fase 1.</w:t>
      </w:r>
      <w:r>
        <w:br w:type="page"/>
      </w:r>
    </w:p>
    <w:p>
      <w:pPr>
        <w:pStyle w:val="Heading1"/>
        <w:rPr/>
      </w:pPr>
      <w:bookmarkStart w:id="39" w:name="__RefHeading___Toc3201_1804765426"/>
      <w:bookmarkEnd w:id="39"/>
      <w:r>
        <w:rPr/>
        <w:t>14. Búsqueda de incidentes y diseño de la evaluación</w:t>
      </w:r>
    </w:p>
    <w:p>
      <w:pPr>
        <w:pStyle w:val="Heading2"/>
        <w:rPr/>
      </w:pPr>
      <w:bookmarkStart w:id="40" w:name="__RefHeading___Toc3203_1804765426"/>
      <w:bookmarkEnd w:id="40"/>
      <w:r>
        <w:rPr/>
        <w:t>14.1. Por qué hace falta cargar incidentes</w:t>
      </w:r>
    </w:p>
    <w:p>
      <w:pPr>
        <w:pStyle w:val="Normal"/>
        <w:spacing w:lineRule="exact" w:line="290" w:before="0" w:after="120"/>
        <w:rPr/>
      </w:pPr>
      <w:r>
        <w:rPr/>
        <w:t>Los feeds RSS no guardan noticias antiguas y la consulta ciber de GDELT devuelve muy pocos resultados. Además, los grupos hacktivistas anuncian sus ataques sobre todo en Telegram y X. Por eso, sin una carga manual de incidentes, el modo histórico solo muestra alertas amarillas (detonantes) y no puede evaluar si a los hechos geopolíticos les siguieron ataques.</w:t>
      </w:r>
    </w:p>
    <w:p>
      <w:pPr>
        <w:pStyle w:val="Heading2"/>
        <w:rPr/>
      </w:pPr>
      <w:bookmarkStart w:id="41" w:name="__RefHeading___Toc3205_1804765426"/>
      <w:bookmarkEnd w:id="41"/>
      <w:r>
        <w:rPr/>
        <w:t>14.2. Grupo de comparación</w:t>
      </w:r>
    </w:p>
    <w:p>
      <w:pPr>
        <w:pStyle w:val="Normal"/>
        <w:spacing w:lineRule="exact" w:line="290" w:before="0" w:after="120"/>
        <w:rPr/>
      </w:pPr>
      <w:r>
        <w:rPr/>
        <w:t xml:space="preserve">A pedido del autor, la búsqueda incluyó ataques contra el Estado argentino </w:t>
      </w:r>
      <w:r>
        <w:rPr>
          <w:b/>
          <w:bCs/>
        </w:rPr>
        <w:t>vinculados o no</w:t>
      </w:r>
      <w:r>
        <w:rPr/>
        <w:t xml:space="preserve"> a conflictos geopolíticos. Esto no le quita sentido al análisis de contexto; lo fortalece: los ataques sin motivación geopolítica (por ejemplo, ransomware con fines económicos) funcionan como </w:t>
      </w:r>
      <w:r>
        <w:rPr>
          <w:b/>
          <w:bCs/>
        </w:rPr>
        <w:t>grupo de comparación</w:t>
      </w:r>
      <w:r>
        <w:rPr/>
        <w:t>.</w:t>
      </w:r>
    </w:p>
    <w:p>
      <w:pPr>
        <w:pStyle w:val="Normal"/>
        <w:pBdr>
          <w:left w:val="single" w:sz="18" w:space="8" w:color="2A78D6"/>
        </w:pBdr>
        <w:shd w:val="clear" w:fill="EAF1FB"/>
        <w:spacing w:before="120" w:after="160"/>
        <w:ind w:left="200" w:right="200"/>
        <w:rPr/>
      </w:pPr>
      <w:r>
        <w:rPr>
          <w:b/>
          <w:bCs/>
        </w:rPr>
        <w:t>Pregunta de evaluación:</w:t>
      </w:r>
      <w:r>
        <w:rPr/>
        <w:t xml:space="preserve"> ¿los ataques </w:t>
      </w:r>
      <w:r>
        <w:rPr>
          <w:b/>
          <w:bCs/>
        </w:rPr>
        <w:t>hacktivistas</w:t>
      </w:r>
      <w:r>
        <w:rPr/>
        <w:t xml:space="preserve"> caen dentro de las ventanas de vigilancia con más frecuencia que los ataques </w:t>
      </w:r>
      <w:r>
        <w:rPr>
          <w:b/>
          <w:bCs/>
        </w:rPr>
        <w:t>cibercriminales</w:t>
      </w:r>
      <w:r>
        <w:rPr/>
        <w:t>? Si es así, el contexto geopolítico anticipa el hacktivismo. Si ambos caen por igual, el semáforo solo reflejaría que hay ataques todo el tiempo.</w:t>
      </w:r>
    </w:p>
    <w:p>
      <w:pPr>
        <w:pStyle w:val="Normal"/>
        <w:spacing w:lineRule="exact" w:line="290" w:before="0" w:after="120"/>
        <w:rPr/>
      </w:pPr>
      <w:r>
        <w:rPr/>
        <w:t xml:space="preserve">Para ello se propone etiquetar cada incidente con su </w:t>
      </w:r>
      <w:r>
        <w:rPr>
          <w:b/>
          <w:bCs/>
        </w:rPr>
        <w:t>tipo de actor</w:t>
      </w:r>
      <w:r>
        <w:rPr/>
        <w:t xml:space="preserve"> (hacktivista, cibercriminal, estatal o desconocido).</w:t>
      </w:r>
    </w:p>
    <w:p>
      <w:pPr>
        <w:pStyle w:val="Heading2"/>
        <w:rPr/>
      </w:pPr>
      <w:bookmarkStart w:id="42" w:name="__RefHeading___Toc3207_1804765426"/>
      <w:bookmarkEnd w:id="42"/>
      <w:r>
        <w:rPr/>
        <w:t>14.3. Incidentes cargados</w:t>
      </w:r>
    </w:p>
    <w:p>
      <w:pPr>
        <w:pStyle w:val="Normal"/>
        <w:spacing w:lineRule="exact" w:line="290" w:before="0" w:after="120"/>
        <w:rPr/>
      </w:pPr>
      <w:r>
        <w:rPr/>
        <w:t>La búsqueda inicial (14/10/2026) identificó 13 candidatos (</w:t>
      </w:r>
      <w:r>
        <w:rPr>
          <w:rFonts w:eastAsia="Consolas" w:cs="Consolas" w:ascii="Consolas" w:hAnsi="Consolas"/>
          <w:sz w:val="19"/>
          <w:szCs w:val="19"/>
        </w:rPr>
        <w:t>datos/candidatos_incidentes.csv</w:t>
      </w:r>
      <w:r>
        <w:rPr/>
        <w:t xml:space="preserve">). El autor decidió </w:t>
      </w:r>
      <w:r>
        <w:rPr>
          <w:b/>
          <w:bCs/>
        </w:rPr>
        <w:t>cargarlos todos</w:t>
      </w:r>
      <w:r>
        <w:rPr/>
        <w:t xml:space="preserve"> en </w:t>
      </w:r>
      <w:r>
        <w:rPr>
          <w:rFonts w:eastAsia="Consolas" w:cs="Consolas" w:ascii="Consolas" w:hAnsi="Consolas"/>
          <w:sz w:val="19"/>
          <w:szCs w:val="19"/>
        </w:rPr>
        <w:t>datos/incidentes_historicos.csv</w:t>
      </w:r>
      <w:r>
        <w:rPr/>
        <w:t xml:space="preserve">, marcados como </w:t>
      </w:r>
      <w:r>
        <w:rPr>
          <w:b/>
          <w:bCs/>
        </w:rPr>
        <w:t>no verificados</w:t>
      </w:r>
      <w:r>
        <w:rPr/>
        <w:t xml:space="preserve">. Varias fuentes son secundarias o recogen reivindicaciones de los propios grupos, por lo que la verificación sigue pendiente. Los dos incidentes </w:t>
      </w:r>
      <w:r>
        <w:rPr>
          <w:b/>
          <w:bCs/>
        </w:rPr>
        <w:t>sin fecha conocida</w:t>
      </w:r>
      <w:r>
        <w:rPr/>
        <w:t xml:space="preserve"> (REM y Stucx Team) se muestran en la página, pero no entran al cálculo.</w:t>
      </w:r>
    </w:p>
    <w:tbl>
      <w:tblPr>
        <w:tblW w:w="9638" w:type="dxa"/>
        <w:jc w:val="left"/>
        <w:tblInd w:w="0" w:type="dxa"/>
        <w:tblLayout w:type="fixed"/>
        <w:tblCellMar>
          <w:top w:w="60" w:type="dxa"/>
          <w:left w:w="100" w:type="dxa"/>
          <w:bottom w:w="60" w:type="dxa"/>
          <w:right w:w="100" w:type="dxa"/>
        </w:tblCellMar>
      </w:tblPr>
      <w:tblGrid>
        <w:gridCol w:w="1199"/>
        <w:gridCol w:w="1500"/>
        <w:gridCol w:w="1350"/>
        <w:gridCol w:w="3189"/>
        <w:gridCol w:w="1250"/>
        <w:gridCol w:w="1149"/>
      </w:tblGrid>
      <w:tr>
        <w:trPr>
          <w:tblHeader w:val="true"/>
        </w:trPr>
        <w:tc>
          <w:tcPr>
            <w:tcW w:w="11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15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Actor</w:t>
            </w:r>
          </w:p>
        </w:tc>
        <w:tc>
          <w:tcPr>
            <w:tcW w:w="13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Tipo</w:t>
            </w:r>
          </w:p>
        </w:tc>
        <w:tc>
          <w:tcPr>
            <w:tcW w:w="318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Objetivo</w:t>
            </w:r>
          </w:p>
        </w:tc>
        <w:tc>
          <w:tcPr>
            <w:tcW w:w="12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Ataque</w:t>
            </w:r>
          </w:p>
        </w:tc>
        <w:tc>
          <w:tcPr>
            <w:tcW w:w="114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Confianza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2023-08</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Cyber Dragonz</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Biblioteca del Congreso de la Nación</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2024-02-22</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Fuerzas Armadas / Ejército Argentino (Comando Conjunto de Ciberdefensa)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 fecha</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REM</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AMIA y milei.com.ar</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2024-08-05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Ministerio de Salud y un medio de noticias</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otro</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2024-08-15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Gobierno argentino (datos de Fuerzas Armadas y policía)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2024-08</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LulzSec Muslims</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Fuerza Aérea Argentina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2023-08-02</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Rhysida</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PAMI</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2023-10-19</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Sitio oficial argentina.gob.ar</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2024-02-05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Gobierno de Río Negro - Hospital de Ingeniero Huergo</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2024-04-09</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RENAPER (fotos de ciudadanos)</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2024-04-16</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Agencia Nacional de Seguridad Vial (licencias de conducir)</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2024-06-27</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Gobierno de Tierra del Fuego</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sin fecha</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Stucx Team</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Sitios argentinos (campaña masiva)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ddos</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bl>
    <w:p>
      <w:pPr>
        <w:pStyle w:val="Normal"/>
        <w:spacing w:before="0" w:after="120"/>
        <w:rPr/>
      </w:pPr>
      <w:r>
        <w:rPr/>
      </w:r>
    </w:p>
    <w:p>
      <w:pPr>
        <w:pStyle w:val="Heading2"/>
        <w:rPr/>
      </w:pPr>
      <w:bookmarkStart w:id="43" w:name="__RefHeading___Toc3209_1804765426"/>
      <w:bookmarkEnd w:id="43"/>
      <w:r>
        <w:rPr/>
        <w:t>14.4. Primeras observaciones</w:t>
      </w:r>
    </w:p>
    <w:p>
      <w:pPr>
        <w:pStyle w:val="ListParagraph"/>
        <w:numPr>
          <w:ilvl w:val="0"/>
          <w:numId w:val="3"/>
        </w:numPr>
        <w:spacing w:before="0" w:after="60"/>
        <w:rPr/>
      </w:pPr>
      <w:r>
        <w:rPr/>
        <w:t xml:space="preserve">La reivindicación de </w:t>
      </w:r>
      <w:r>
        <w:rPr>
          <w:b/>
          <w:bCs/>
        </w:rPr>
        <w:t>LulzSec Muslims</w:t>
      </w:r>
      <w:r>
        <w:rPr/>
        <w:t xml:space="preserve"> contra datos de las Fuerzas Armadas (aprox. 22/02/2024) ocurre </w:t>
      </w:r>
      <w:r>
        <w:rPr>
          <w:b/>
          <w:bCs/>
        </w:rPr>
        <w:t>16 días</w:t>
      </w:r>
      <w:r>
        <w:rPr/>
        <w:t xml:space="preserve"> después de la visita a Israel (06/02/2024): queda </w:t>
      </w:r>
      <w:r>
        <w:rPr>
          <w:b/>
          <w:bCs/>
        </w:rPr>
        <w:t>fuera</w:t>
      </w:r>
      <w:r>
        <w:rPr/>
        <w:t xml:space="preserve"> de una ventana de 7 días, pero </w:t>
      </w:r>
      <w:r>
        <w:rPr>
          <w:b/>
          <w:bCs/>
        </w:rPr>
        <w:t>dentro</w:t>
      </w:r>
      <w:r>
        <w:rPr/>
        <w:t xml:space="preserve"> de una de 14 o 21. Es un caso útil para el análisis de sensibilidad de la ventana.</w:t>
      </w:r>
    </w:p>
    <w:p>
      <w:pPr>
        <w:pStyle w:val="ListParagraph"/>
        <w:numPr>
          <w:ilvl w:val="0"/>
          <w:numId w:val="3"/>
        </w:numPr>
        <w:spacing w:before="0" w:after="60"/>
        <w:rPr/>
      </w:pPr>
      <w:r>
        <w:rPr/>
        <w:t xml:space="preserve">Varios ataques de LulzSec Muslims se concentran en </w:t>
      </w:r>
      <w:r>
        <w:rPr>
          <w:b/>
          <w:bCs/>
        </w:rPr>
        <w:t>agosto de 2024</w:t>
      </w:r>
      <w:r>
        <w:rPr/>
        <w:t>, poco después de la declaración de Hamás como organización terrorista (12/07/2024) y del 30.º aniversario de la AMIA (18/07/2024). Conviene evaluar si se extiende el período de estudio hasta agosto de 2024.</w:t>
      </w:r>
    </w:p>
    <w:p>
      <w:pPr>
        <w:pStyle w:val="ListParagraph"/>
        <w:numPr>
          <w:ilvl w:val="0"/>
          <w:numId w:val="3"/>
        </w:numPr>
        <w:spacing w:before="0" w:after="60"/>
        <w:rPr/>
      </w:pPr>
      <w:r>
        <w:rPr/>
        <w:t xml:space="preserve">El ataque al Gobierno de Río Negro (05/02/2024) ocurre un día antes de la visita a Israel, sin relación aparente: ejemplo de </w:t>
      </w:r>
      <w:r>
        <w:rPr>
          <w:b/>
          <w:bCs/>
        </w:rPr>
        <w:t>coincidencia temporal sin causalidad</w:t>
      </w:r>
      <w:r>
        <w:rPr/>
        <w:t>, importante para la discusión de resultados.</w:t>
      </w:r>
    </w:p>
    <w:p>
      <w:pPr>
        <w:pStyle w:val="Heading2"/>
        <w:rPr/>
      </w:pPr>
      <w:bookmarkStart w:id="44" w:name="__RefHeading___Toc3211_1804765426"/>
      <w:bookmarkEnd w:id="44"/>
      <w:r>
        <w:rPr/>
        <w:t>14.5. Segunda lista de candidatos (agosto 2024 – hoy)</w:t>
      </w:r>
    </w:p>
    <w:p>
      <w:pPr>
        <w:pStyle w:val="Normal"/>
        <w:spacing w:lineRule="exact" w:line="290" w:before="0" w:after="120"/>
        <w:rPr/>
      </w:pPr>
      <w:r>
        <w:rPr/>
        <w:t xml:space="preserve">Al extender el período hasta la actualidad, se realizó una segunda búsqueda. Se identificaron </w:t>
      </w:r>
      <w:r>
        <w:rPr>
          <w:b/>
          <w:bCs/>
        </w:rPr>
        <w:t>8 hechos clave</w:t>
      </w:r>
      <w:r>
        <w:rPr/>
        <w:t xml:space="preserve"> y </w:t>
      </w:r>
      <w:r>
        <w:rPr>
          <w:b/>
          <w:bCs/>
        </w:rPr>
        <w:t>10 incidentes</w:t>
      </w:r>
      <w:r>
        <w:rPr/>
        <w:t xml:space="preserve"> candidatos (</w:t>
      </w:r>
      <w:r>
        <w:rPr>
          <w:rFonts w:eastAsia="Consolas" w:cs="Consolas" w:ascii="Consolas" w:hAnsi="Consolas"/>
          <w:sz w:val="19"/>
          <w:szCs w:val="19"/>
        </w:rPr>
        <w:t>datos/candidatos_hechos_clave.csv</w:t>
      </w:r>
      <w:r>
        <w:rPr/>
        <w:t xml:space="preserve"> y </w:t>
      </w:r>
      <w:r>
        <w:rPr>
          <w:rFonts w:eastAsia="Consolas" w:cs="Consolas" w:ascii="Consolas" w:hAnsi="Consolas"/>
          <w:sz w:val="19"/>
          <w:szCs w:val="19"/>
        </w:rPr>
        <w:t>datos/candidatos_incidentes.csv</w:t>
      </w:r>
      <w:r>
        <w:rPr/>
        <w:t xml:space="preserve">). El autor decidió </w:t>
      </w:r>
      <w:r>
        <w:rPr>
          <w:b/>
          <w:bCs/>
        </w:rPr>
        <w:t>cargarlos todos</w:t>
      </w:r>
      <w:r>
        <w:rPr/>
        <w:t>, sin verificar, y evaluar el modelo también sin los incidentes de confianza baja (decisión D29).</w:t>
      </w:r>
    </w:p>
    <w:p>
      <w:pPr>
        <w:pStyle w:val="Heading3"/>
        <w:rPr/>
      </w:pPr>
      <w:r>
        <w:rPr/>
        <w:t>Hechos clave candidatos</w:t>
      </w:r>
    </w:p>
    <w:tbl>
      <w:tblPr>
        <w:tblW w:w="9638" w:type="dxa"/>
        <w:jc w:val="left"/>
        <w:tblInd w:w="0" w:type="dxa"/>
        <w:tblLayout w:type="fixed"/>
        <w:tblCellMar>
          <w:top w:w="60" w:type="dxa"/>
          <w:left w:w="100" w:type="dxa"/>
          <w:bottom w:w="60" w:type="dxa"/>
          <w:right w:w="100" w:type="dxa"/>
        </w:tblCellMar>
      </w:tblPr>
      <w:tblGrid>
        <w:gridCol w:w="1300"/>
        <w:gridCol w:w="7037"/>
        <w:gridCol w:w="1301"/>
      </w:tblGrid>
      <w:tr>
        <w:trPr>
          <w:tblHeader w:val="true"/>
        </w:trPr>
        <w:tc>
          <w:tcPr>
            <w:tcW w:w="13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7037"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Hecho</w:t>
            </w:r>
          </w:p>
        </w:tc>
        <w:tc>
          <w:tcPr>
            <w:tcW w:w="13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Confianza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2025-06-11</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Segunda visita de Milei a Israel: anuncia el traslado de la embajada para 2026</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2025-06-22</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Argentina respalda el ataque de EE. UU. a instalaciones nucleares de Irán</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2026-01-17</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Argentina anuncia su ingreso como miembro fundador del Board of Peace</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2026-02-19</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Milei participa de la reunión inaugural del Board of Peace y ofrece ayuda para Gaza</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2026-02-28</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Comienza la guerra de EE. UU. e Israel contra Irán; Argentina la respalda</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2026-03-18</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Milei arremete contra Irán en el aniversario del atentado a la embajada de Israel</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2026-04-02</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Argentina expulsa al encargado de negocios de Irán tras declarar terrorista a la Guardia Revolucionaria</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3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2026-04-19</w:t>
            </w:r>
          </w:p>
        </w:tc>
        <w:tc>
          <w:tcPr>
            <w:tcW w:w="70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Tercera visita de Milei a Israel en plena guerra con Irán</w:t>
            </w:r>
          </w:p>
        </w:tc>
        <w:tc>
          <w:tcPr>
            <w:tcW w:w="13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bl>
    <w:p>
      <w:pPr>
        <w:pStyle w:val="Normal"/>
        <w:spacing w:before="0" w:after="120"/>
        <w:rPr/>
      </w:pPr>
      <w:r>
        <w:rPr/>
      </w:r>
    </w:p>
    <w:p>
      <w:pPr>
        <w:pStyle w:val="Heading3"/>
        <w:rPr/>
      </w:pPr>
      <w:r>
        <w:rPr/>
        <w:t>Incidentes candidatos</w:t>
      </w:r>
    </w:p>
    <w:tbl>
      <w:tblPr>
        <w:tblW w:w="9638" w:type="dxa"/>
        <w:jc w:val="left"/>
        <w:tblInd w:w="0" w:type="dxa"/>
        <w:tblLayout w:type="fixed"/>
        <w:tblCellMar>
          <w:top w:w="60" w:type="dxa"/>
          <w:left w:w="100" w:type="dxa"/>
          <w:bottom w:w="60" w:type="dxa"/>
          <w:right w:w="100" w:type="dxa"/>
        </w:tblCellMar>
      </w:tblPr>
      <w:tblGrid>
        <w:gridCol w:w="1199"/>
        <w:gridCol w:w="1500"/>
        <w:gridCol w:w="1350"/>
        <w:gridCol w:w="3189"/>
        <w:gridCol w:w="1250"/>
        <w:gridCol w:w="1149"/>
      </w:tblGrid>
      <w:tr>
        <w:trPr>
          <w:tblHeader w:val="true"/>
        </w:trPr>
        <w:tc>
          <w:tcPr>
            <w:tcW w:w="11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15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Actor</w:t>
            </w:r>
          </w:p>
        </w:tc>
        <w:tc>
          <w:tcPr>
            <w:tcW w:w="13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Tipo</w:t>
            </w:r>
          </w:p>
        </w:tc>
        <w:tc>
          <w:tcPr>
            <w:tcW w:w="318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Objetivo</w:t>
            </w:r>
          </w:p>
        </w:tc>
        <w:tc>
          <w:tcPr>
            <w:tcW w:w="12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Ataque</w:t>
            </w:r>
          </w:p>
        </w:tc>
        <w:tc>
          <w:tcPr>
            <w:tcW w:w="114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Confianza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2024-10-04</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RansomHub</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Municipio de Tigre</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2024-11-27</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Money Message</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Comisión Nacional de Energía Atómica (CNEA)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2024-11-29</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LockBit 3.0</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Agencia Tributaria de Formosa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2024-12-25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gov.eth y h4xx0r1337</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Sitio argentina.gob.ar, Mi Argentina y SUBE</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2025-05-08</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desconocido</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Fuerzas Armadas (datos de unos 50.000 efectivos)</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alta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2025-10-12</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Nova</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Ministerio de Salud de la Nación</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2026-02-05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Campaña hacktivista (sin nombre público)</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Cancillería argentina</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ddos</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2026-03-04</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The Gentlemen</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IBR-CONICET (Rosario)</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2026-07-15</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Hackers de origen egipcio (sin nombre)</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hacktivista</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AFA (AFA Medios)</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filtracion</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media</w:t>
            </w:r>
          </w:p>
        </w:tc>
      </w:tr>
      <w:tr>
        <w:trPr/>
        <w:tc>
          <w:tcPr>
            <w:tcW w:w="11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2026-09-18</w:t>
            </w:r>
          </w:p>
        </w:tc>
        <w:tc>
          <w:tcPr>
            <w:tcW w:w="15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n0n</w:t>
            </w:r>
          </w:p>
        </w:tc>
        <w:tc>
          <w:tcPr>
            <w:tcW w:w="13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cibercriminal</w:t>
            </w:r>
          </w:p>
        </w:tc>
        <w:tc>
          <w:tcPr>
            <w:tcW w:w="318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Ministerio de Educación de la Nación</w:t>
            </w:r>
          </w:p>
        </w:tc>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ransomware</w:t>
            </w:r>
          </w:p>
        </w:tc>
        <w:tc>
          <w:tcPr>
            <w:tcW w:w="114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baja</w:t>
            </w:r>
          </w:p>
        </w:tc>
      </w:tr>
    </w:tbl>
    <w:p>
      <w:pPr>
        <w:pStyle w:val="Normal"/>
        <w:spacing w:before="0" w:after="120"/>
        <w:rPr/>
      </w:pPr>
      <w:r>
        <w:rPr/>
      </w:r>
    </w:p>
    <w:p>
      <w:pPr>
        <w:pStyle w:val="ListParagraph"/>
        <w:numPr>
          <w:ilvl w:val="0"/>
          <w:numId w:val="3"/>
        </w:numPr>
        <w:spacing w:before="0" w:after="60"/>
        <w:rPr/>
      </w:pPr>
      <w:r>
        <w:rPr/>
        <w:t xml:space="preserve">El </w:t>
      </w:r>
      <w:r>
        <w:rPr>
          <w:b/>
          <w:bCs/>
        </w:rPr>
        <w:t>intento de DDoS contra la Cancillería (05/02/2026)</w:t>
      </w:r>
      <w:r>
        <w:rPr/>
        <w:t xml:space="preserve"> es el caso más claro de la segunda lista: la propia SIDE lo atribuyó a una campaña hacktivista contra los países del Board of Peace, y ocurre </w:t>
      </w:r>
      <w:r>
        <w:rPr>
          <w:b/>
          <w:bCs/>
        </w:rPr>
        <w:t>19 días</w:t>
      </w:r>
      <w:r>
        <w:rPr/>
        <w:t xml:space="preserve"> después del anuncio de ingreso de Argentina (17/01/2026). Vuelve a quedar fuera de una ventana de 7 días y dentro de una de 21.</w:t>
      </w:r>
    </w:p>
    <w:p>
      <w:pPr>
        <w:pStyle w:val="ListParagraph"/>
        <w:numPr>
          <w:ilvl w:val="0"/>
          <w:numId w:val="3"/>
        </w:numPr>
        <w:spacing w:before="0" w:after="60"/>
        <w:rPr/>
      </w:pPr>
      <w:r>
        <w:rPr/>
        <w:t xml:space="preserve">Varios incidentes de la segunda lista son </w:t>
      </w:r>
      <w:r>
        <w:rPr>
          <w:b/>
          <w:bCs/>
        </w:rPr>
        <w:t>reivindicaciones de grupos de ransomware</w:t>
      </w:r>
      <w:r>
        <w:rPr/>
        <w:t xml:space="preserve"> recogidas por agregadores (ransomware.live, SOCRadar), sin confirmación oficial: deben tratarse con confianza baja.</w:t>
      </w:r>
    </w:p>
    <w:p>
      <w:pPr>
        <w:pStyle w:val="Heading2"/>
        <w:rPr/>
      </w:pPr>
      <w:bookmarkStart w:id="45" w:name="__RefHeading___Toc3213_1804765426"/>
      <w:bookmarkEnd w:id="45"/>
      <w:r>
        <w:rPr/>
        <w:t>14.6. Metodología de verificación</w:t>
      </w:r>
    </w:p>
    <w:p>
      <w:pPr>
        <w:pStyle w:val="Normal"/>
        <w:spacing w:lineRule="exact" w:line="290" w:before="0" w:after="120"/>
        <w:rPr/>
      </w:pPr>
      <w:r>
        <w:rPr/>
        <w:t xml:space="preserve">Todos los incidentes y hechos clave se cargaron como </w:t>
      </w:r>
      <w:r>
        <w:rPr>
          <w:b/>
          <w:bCs/>
        </w:rPr>
        <w:t>no verificados</w:t>
      </w:r>
      <w:r>
        <w:rPr/>
        <w:t>. La verificación la realiza el autor con un método estándar de inteligencia, apoyado en una planilla (</w:t>
      </w:r>
      <w:r>
        <w:rPr>
          <w:rFonts w:eastAsia="Consolas" w:cs="Consolas" w:ascii="Consolas" w:hAnsi="Consolas"/>
          <w:sz w:val="19"/>
          <w:szCs w:val="19"/>
        </w:rPr>
        <w:t>datos/verificacion/planilla_verificacion.xlsx</w:t>
      </w:r>
      <w:r>
        <w:rPr/>
        <w:t>):</w:t>
      </w:r>
    </w:p>
    <w:p>
      <w:pPr>
        <w:pStyle w:val="ListParagraph"/>
        <w:numPr>
          <w:ilvl w:val="0"/>
          <w:numId w:val="15"/>
        </w:numPr>
        <w:spacing w:before="0" w:after="60"/>
        <w:rPr/>
      </w:pPr>
      <w:r>
        <w:rPr>
          <w:b/>
          <w:bCs/>
        </w:rPr>
        <w:t>Fuente:</w:t>
      </w:r>
      <w:r>
        <w:rPr/>
        <w:t xml:space="preserve"> comprobar que la fuente existe y describe ese hecho.</w:t>
      </w:r>
    </w:p>
    <w:p>
      <w:pPr>
        <w:pStyle w:val="ListParagraph"/>
        <w:numPr>
          <w:ilvl w:val="0"/>
          <w:numId w:val="7"/>
        </w:numPr>
        <w:spacing w:before="0" w:after="60"/>
        <w:rPr/>
      </w:pPr>
      <w:r>
        <w:rPr>
          <w:b/>
          <w:bCs/>
        </w:rPr>
        <w:t>Fecha real:</w:t>
      </w:r>
      <w:r>
        <w:rPr/>
        <w:t xml:space="preserve"> distinguir la fecha del hecho de la fecha de publicación de la nota.</w:t>
      </w:r>
    </w:p>
    <w:p>
      <w:pPr>
        <w:pStyle w:val="ListParagraph"/>
        <w:numPr>
          <w:ilvl w:val="0"/>
          <w:numId w:val="7"/>
        </w:numPr>
        <w:spacing w:before="0" w:after="60"/>
        <w:rPr/>
      </w:pPr>
      <w:r>
        <w:rPr>
          <w:b/>
          <w:bCs/>
        </w:rPr>
        <w:t>Actor y objetivo:</w:t>
      </w:r>
      <w:r>
        <w:rPr/>
        <w:t xml:space="preserve"> confirmar quién atacó y a quién.</w:t>
      </w:r>
    </w:p>
    <w:p>
      <w:pPr>
        <w:pStyle w:val="ListParagraph"/>
        <w:numPr>
          <w:ilvl w:val="0"/>
          <w:numId w:val="7"/>
        </w:numPr>
        <w:spacing w:before="0" w:after="60"/>
        <w:rPr/>
      </w:pPr>
      <w:r>
        <w:rPr>
          <w:b/>
          <w:bCs/>
        </w:rPr>
        <w:t>Corroboración:</w:t>
      </w:r>
      <w:r>
        <w:rPr/>
        <w:t xml:space="preserve"> buscar al menos una segunda fuente independiente (que no copie a la primera).</w:t>
      </w:r>
    </w:p>
    <w:p>
      <w:pPr>
        <w:pStyle w:val="ListParagraph"/>
        <w:numPr>
          <w:ilvl w:val="0"/>
          <w:numId w:val="7"/>
        </w:numPr>
        <w:spacing w:before="0" w:after="60"/>
        <w:rPr/>
      </w:pPr>
      <w:r>
        <w:rPr>
          <w:b/>
          <w:bCs/>
        </w:rPr>
        <w:t>Evidencia técnica:</w:t>
      </w:r>
      <w:r>
        <w:rPr/>
        <w:t xml:space="preserve"> Wayback Machine o Zone-H para defacements, ransomware.live para ransomware y filtraciones, comunicados oficiales para DDoS.</w:t>
      </w:r>
    </w:p>
    <w:p>
      <w:pPr>
        <w:pStyle w:val="ListParagraph"/>
        <w:numPr>
          <w:ilvl w:val="0"/>
          <w:numId w:val="7"/>
        </w:numPr>
        <w:spacing w:before="0" w:after="60"/>
        <w:rPr/>
      </w:pPr>
      <w:r>
        <w:rPr>
          <w:b/>
          <w:bCs/>
        </w:rPr>
        <w:t>Calificación con el Código Almirantazgo (OTAN):</w:t>
      </w:r>
      <w:r>
        <w:rPr/>
        <w:t xml:space="preserve"> una letra para la fiabilidad de la fuente (A totalmente fiable … F no se puede juzgar) y un número para la credibilidad de la información (1 confirmada … 6 no se puede juzgar).</w:t>
      </w:r>
    </w:p>
    <w:p>
      <w:pPr>
        <w:pStyle w:val="ListParagraph"/>
        <w:numPr>
          <w:ilvl w:val="0"/>
          <w:numId w:val="7"/>
        </w:numPr>
        <w:spacing w:before="0" w:after="60"/>
        <w:rPr/>
      </w:pPr>
      <w:r>
        <w:rPr>
          <w:b/>
          <w:bCs/>
        </w:rPr>
        <w:t>Decisión:</w:t>
      </w:r>
      <w:r>
        <w:rPr/>
        <w:t xml:space="preserve"> confirmado, reivindicado sin confirmar o descartado.</w:t>
      </w:r>
    </w:p>
    <w:tbl>
      <w:tblPr>
        <w:tblW w:w="9638" w:type="dxa"/>
        <w:jc w:val="left"/>
        <w:tblInd w:w="0" w:type="dxa"/>
        <w:tblLayout w:type="fixed"/>
        <w:tblCellMar>
          <w:top w:w="60" w:type="dxa"/>
          <w:left w:w="100" w:type="dxa"/>
          <w:bottom w:w="60" w:type="dxa"/>
          <w:right w:w="10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Fiabilidad de la fuente</w:t>
            </w:r>
          </w:p>
        </w:tc>
        <w:tc>
          <w:tcPr>
            <w:tcW w:w="481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Credibilidad de la información</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 Totalmente fiable (organismo oficial, el afectado)</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 — Confirmada por fuentes independientes</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 — Normalmente fiable (medio serio, empresa de seguridad)</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 — Probablemente cierta</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 — Bastante fiable (medio menor, investigador)</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 Posiblemente cierta</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 — No siempre fiable (blog, agregador, redes)</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4 — Dudosa</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 — Poco fiable (el propio atacante)</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5 — Improbable</w:t>
            </w:r>
          </w:p>
        </w:tc>
      </w:tr>
      <w:tr>
        <w:trPr/>
        <w:tc>
          <w:tcPr>
            <w:tcW w:w="481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 — No se puede juzgar</w:t>
            </w:r>
          </w:p>
        </w:tc>
        <w:tc>
          <w:tcPr>
            <w:tcW w:w="481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6 — No se puede juzgar</w:t>
            </w:r>
          </w:p>
        </w:tc>
      </w:tr>
    </w:tbl>
    <w:p>
      <w:pPr>
        <w:pStyle w:val="Normal"/>
        <w:spacing w:before="0" w:after="120"/>
        <w:rPr/>
      </w:pPr>
      <w:r>
        <w:rPr/>
      </w:r>
    </w:p>
    <w:p>
      <w:pPr>
        <w:pStyle w:val="Normal"/>
        <w:spacing w:lineRule="exact" w:line="290" w:before="0" w:after="120"/>
        <w:rPr/>
      </w:pPr>
      <w:r>
        <w:rPr/>
        <w:t>La planilla ordena los incidentes del más reciente al más antiguo (los de fecha desconocida, al final) e indica una prioridad: los hacktivistas y los de fecha desconocida son los que más influyen en la evaluación del modelo.</w:t>
      </w:r>
      <w:r>
        <w:br w:type="page"/>
      </w:r>
    </w:p>
    <w:p>
      <w:pPr>
        <w:pStyle w:val="Heading1"/>
        <w:rPr/>
      </w:pPr>
      <w:bookmarkStart w:id="46" w:name="__RefHeading___Toc3215_1804765426"/>
      <w:bookmarkEnd w:id="46"/>
      <w:r>
        <w:rPr/>
        <w:t>15. Evaluación del modelo</w:t>
      </w:r>
    </w:p>
    <w:p>
      <w:pPr>
        <w:pStyle w:val="Heading2"/>
        <w:rPr/>
      </w:pPr>
      <w:bookmarkStart w:id="47" w:name="__RefHeading___Toc3217_1804765426"/>
      <w:bookmarkEnd w:id="47"/>
      <w:r>
        <w:rPr/>
        <w:t>15.1. Método</w:t>
      </w:r>
    </w:p>
    <w:p>
      <w:pPr>
        <w:pStyle w:val="Normal"/>
        <w:spacing w:lineRule="exact" w:line="290" w:before="0" w:after="120"/>
        <w:rPr/>
      </w:pPr>
      <w:r>
        <w:rPr/>
        <w:t xml:space="preserve">Para cada tamaño de ventana y cada tipo de actor se calcula cuántos ataques ocurrieron </w:t>
      </w:r>
      <w:r>
        <w:rPr>
          <w:b/>
          <w:bCs/>
        </w:rPr>
        <w:t>dentro</w:t>
      </w:r>
      <w:r>
        <w:rPr/>
        <w:t xml:space="preserve"> de una ventana de vigilancia. Ese porcentaje se compara con la </w:t>
      </w:r>
      <w:r>
        <w:rPr>
          <w:b/>
          <w:bCs/>
        </w:rPr>
        <w:t>cobertura</w:t>
      </w:r>
      <w:r>
        <w:rPr/>
        <w:t xml:space="preserve">, es decir, el porcentaje de días del período cubiertos por ventanas: es lo que se esperaría si los ataques ocurrieran al azar. La </w:t>
      </w:r>
      <w:r>
        <w:rPr>
          <w:b/>
          <w:bCs/>
        </w:rPr>
        <w:t>razón</w:t>
      </w:r>
      <w:r>
        <w:rPr/>
        <w:t xml:space="preserve"> entre ambos resume el resultado:</w:t>
      </w:r>
    </w:p>
    <w:p>
      <w:pPr>
        <w:pStyle w:val="ListParagraph"/>
        <w:numPr>
          <w:ilvl w:val="0"/>
          <w:numId w:val="3"/>
        </w:numPr>
        <w:spacing w:before="0" w:after="60"/>
        <w:rPr/>
      </w:pPr>
      <w:r>
        <w:rPr>
          <w:b/>
          <w:bCs/>
        </w:rPr>
        <w:t>Razón mayor que 1:</w:t>
      </w:r>
      <w:r>
        <w:rPr/>
        <w:t xml:space="preserve"> ese tipo de actor ataca dentro de las ventanas más de lo esperable por azar (evidencia a favor de la hipótesis).</w:t>
      </w:r>
    </w:p>
    <w:p>
      <w:pPr>
        <w:pStyle w:val="ListParagraph"/>
        <w:numPr>
          <w:ilvl w:val="0"/>
          <w:numId w:val="3"/>
        </w:numPr>
        <w:spacing w:before="0" w:after="60"/>
        <w:rPr/>
      </w:pPr>
      <w:r>
        <w:rPr>
          <w:b/>
          <w:bCs/>
        </w:rPr>
        <w:t>Razón cercana a 1:</w:t>
      </w:r>
      <w:r>
        <w:rPr/>
        <w:t xml:space="preserve"> no hay relación con los hechos detonantes. Es lo esperado para el grupo de comparación (cibercriminales).</w:t>
      </w:r>
    </w:p>
    <w:p>
      <w:pPr>
        <w:pStyle w:val="Normal"/>
        <w:spacing w:lineRule="exact" w:line="290" w:before="0" w:after="120"/>
        <w:rPr/>
      </w:pPr>
      <w:r>
        <w:rPr/>
        <w:t>Se evalúan ventanas de 3, 7, 14 y 21 días (</w:t>
      </w:r>
      <w:r>
        <w:rPr>
          <w:b/>
          <w:bCs/>
        </w:rPr>
        <w:t>análisis de sensibilidad</w:t>
      </w:r>
      <w:r>
        <w:rPr/>
        <w:t>). La de 7 días es la que usa el semáforo.</w:t>
      </w:r>
    </w:p>
    <w:p>
      <w:pPr>
        <w:pStyle w:val="Heading2"/>
        <w:rPr/>
      </w:pPr>
      <w:bookmarkStart w:id="48" w:name="__RefHeading___Toc3219_1804765426"/>
      <w:bookmarkEnd w:id="48"/>
      <w:r>
        <w:rPr/>
        <w:t>15.2. Resultados preliminares</w:t>
      </w:r>
    </w:p>
    <w:p>
      <w:pPr>
        <w:pStyle w:val="Normal"/>
        <w:spacing w:lineRule="exact" w:line="290" w:before="0" w:after="120"/>
        <w:rPr/>
      </w:pPr>
      <w:r>
        <w:rPr/>
        <w:t>Período evaluado: 2023-08-01 a 2026-10-18 (1175 días, 107 días detonantes). Datos al 2026-10-18.</w:t>
      </w:r>
    </w:p>
    <w:p>
      <w:pPr>
        <w:pStyle w:val="Heading3"/>
        <w:rPr/>
      </w:pPr>
      <w:r>
        <w:rPr/>
        <w:t>Con todos los incidentes</w:t>
      </w:r>
    </w:p>
    <w:tbl>
      <w:tblPr>
        <w:tblW w:w="9638" w:type="dxa"/>
        <w:jc w:val="left"/>
        <w:tblInd w:w="0" w:type="dxa"/>
        <w:tblLayout w:type="fixed"/>
        <w:tblCellMar>
          <w:top w:w="60" w:type="dxa"/>
          <w:left w:w="100" w:type="dxa"/>
          <w:bottom w:w="60" w:type="dxa"/>
          <w:right w:w="100" w:type="dxa"/>
        </w:tblCellMar>
      </w:tblPr>
      <w:tblGrid>
        <w:gridCol w:w="1499"/>
        <w:gridCol w:w="1501"/>
        <w:gridCol w:w="2299"/>
        <w:gridCol w:w="2170"/>
        <w:gridCol w:w="2169"/>
      </w:tblGrid>
      <w:tr>
        <w:trPr>
          <w:tblHeader w:val="true"/>
        </w:trPr>
        <w:tc>
          <w:tcPr>
            <w:tcW w:w="14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Ventana</w:t>
            </w:r>
          </w:p>
        </w:tc>
        <w:tc>
          <w:tcPr>
            <w:tcW w:w="15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Cobertura</w:t>
            </w:r>
          </w:p>
        </w:tc>
        <w:tc>
          <w:tcPr>
            <w:tcW w:w="22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Hacktivista</w:t>
            </w:r>
          </w:p>
        </w:tc>
        <w:tc>
          <w:tcPr>
            <w:tcW w:w="217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Cibercriminal</w:t>
            </w:r>
          </w:p>
        </w:tc>
        <w:tc>
          <w:tcPr>
            <w:tcW w:w="216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Desconocido</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18.8 %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0.89</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1/9 (11.1 %)</w:t>
            </w:r>
          </w:p>
          <w:p>
            <w:pPr>
              <w:pStyle w:val="Normal"/>
              <w:spacing w:before="0" w:after="20"/>
              <w:rPr/>
            </w:pPr>
            <w:r>
              <w:rPr>
                <w:sz w:val="19"/>
                <w:szCs w:val="19"/>
              </w:rPr>
              <w:t>razón 0.59</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 (40 %)</w:t>
            </w:r>
          </w:p>
          <w:p>
            <w:pPr>
              <w:pStyle w:val="Normal"/>
              <w:spacing w:before="0" w:after="20"/>
              <w:rPr/>
            </w:pPr>
            <w:r>
              <w:rPr>
                <w:sz w:val="19"/>
                <w:szCs w:val="19"/>
              </w:rPr>
              <w:t>razón 2.13</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25.4 %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0.65</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2/9 (22.2 %)</w:t>
            </w:r>
          </w:p>
          <w:p>
            <w:pPr>
              <w:pStyle w:val="Normal"/>
              <w:spacing w:before="0" w:after="20"/>
              <w:rPr/>
            </w:pPr>
            <w:r>
              <w:rPr>
                <w:sz w:val="19"/>
                <w:szCs w:val="19"/>
              </w:rPr>
              <w:t>razón 0.87</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 (40 %)</w:t>
            </w:r>
          </w:p>
          <w:p>
            <w:pPr>
              <w:pStyle w:val="Normal"/>
              <w:spacing w:before="0" w:after="20"/>
              <w:rPr/>
            </w:pPr>
            <w:r>
              <w:rPr>
                <w:sz w:val="19"/>
                <w:szCs w:val="19"/>
              </w:rPr>
              <w:t>razón 1.57</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32.5 %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2/6 (33.3 %)</w:t>
            </w:r>
          </w:p>
          <w:p>
            <w:pPr>
              <w:pStyle w:val="Normal"/>
              <w:spacing w:before="0" w:after="20"/>
              <w:rPr/>
            </w:pPr>
            <w:r>
              <w:rPr>
                <w:sz w:val="19"/>
                <w:szCs w:val="19"/>
              </w:rPr>
              <w:t>razón 1.03</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3/9 (33.3 %)</w:t>
            </w:r>
          </w:p>
          <w:p>
            <w:pPr>
              <w:pStyle w:val="Normal"/>
              <w:spacing w:before="0" w:after="20"/>
              <w:rPr/>
            </w:pPr>
            <w:r>
              <w:rPr>
                <w:sz w:val="19"/>
                <w:szCs w:val="19"/>
              </w:rPr>
              <w:t>razón 1.03</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 (40 %)</w:t>
            </w:r>
          </w:p>
          <w:p>
            <w:pPr>
              <w:pStyle w:val="Normal"/>
              <w:spacing w:before="0" w:after="20"/>
              <w:rPr/>
            </w:pPr>
            <w:r>
              <w:rPr>
                <w:sz w:val="19"/>
                <w:szCs w:val="19"/>
              </w:rPr>
              <w:t>razón 1.23</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21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36.3 %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4/6 (66.7 %)</w:t>
            </w:r>
          </w:p>
          <w:p>
            <w:pPr>
              <w:pStyle w:val="Normal"/>
              <w:spacing w:before="0" w:after="20"/>
              <w:rPr/>
            </w:pPr>
            <w:r>
              <w:rPr>
                <w:sz w:val="19"/>
                <w:szCs w:val="19"/>
              </w:rPr>
              <w:t>razón 1.83</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3/9 (33.3 %)</w:t>
            </w:r>
          </w:p>
          <w:p>
            <w:pPr>
              <w:pStyle w:val="Normal"/>
              <w:spacing w:before="0" w:after="20"/>
              <w:rPr/>
            </w:pPr>
            <w:r>
              <w:rPr>
                <w:sz w:val="19"/>
                <w:szCs w:val="19"/>
              </w:rPr>
              <w:t>razón 0.92</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 (40 %)</w:t>
            </w:r>
          </w:p>
          <w:p>
            <w:pPr>
              <w:pStyle w:val="Normal"/>
              <w:spacing w:before="0" w:after="20"/>
              <w:rPr/>
            </w:pPr>
            <w:r>
              <w:rPr>
                <w:sz w:val="19"/>
                <w:szCs w:val="19"/>
              </w:rPr>
              <w:t>razón 1.1</w:t>
            </w:r>
          </w:p>
        </w:tc>
      </w:tr>
    </w:tbl>
    <w:p>
      <w:pPr>
        <w:pStyle w:val="Normal"/>
        <w:spacing w:before="0" w:after="120"/>
        <w:rPr/>
      </w:pPr>
      <w:r>
        <w:rPr/>
      </w:r>
    </w:p>
    <w:p>
      <w:pPr>
        <w:pStyle w:val="Heading3"/>
        <w:rPr/>
      </w:pPr>
      <w:r>
        <w:rPr/>
        <w:t>Solo incidentes de confianza media o alta (robustez)</w:t>
      </w:r>
    </w:p>
    <w:tbl>
      <w:tblPr>
        <w:tblW w:w="9638" w:type="dxa"/>
        <w:jc w:val="left"/>
        <w:tblInd w:w="0" w:type="dxa"/>
        <w:tblLayout w:type="fixed"/>
        <w:tblCellMar>
          <w:top w:w="60" w:type="dxa"/>
          <w:left w:w="100" w:type="dxa"/>
          <w:bottom w:w="60" w:type="dxa"/>
          <w:right w:w="100" w:type="dxa"/>
        </w:tblCellMar>
      </w:tblPr>
      <w:tblGrid>
        <w:gridCol w:w="1499"/>
        <w:gridCol w:w="1501"/>
        <w:gridCol w:w="2299"/>
        <w:gridCol w:w="2170"/>
        <w:gridCol w:w="2169"/>
      </w:tblGrid>
      <w:tr>
        <w:trPr>
          <w:tblHeader w:val="true"/>
        </w:trPr>
        <w:tc>
          <w:tcPr>
            <w:tcW w:w="14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Ventana</w:t>
            </w:r>
          </w:p>
        </w:tc>
        <w:tc>
          <w:tcPr>
            <w:tcW w:w="15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Cobertura</w:t>
            </w:r>
          </w:p>
        </w:tc>
        <w:tc>
          <w:tcPr>
            <w:tcW w:w="22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Hacktivista</w:t>
            </w:r>
          </w:p>
        </w:tc>
        <w:tc>
          <w:tcPr>
            <w:tcW w:w="217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Cibercriminal</w:t>
            </w:r>
          </w:p>
        </w:tc>
        <w:tc>
          <w:tcPr>
            <w:tcW w:w="216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Desconocido</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18.8 %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0/2 (0 %)</w:t>
            </w:r>
          </w:p>
          <w:p>
            <w:pPr>
              <w:pStyle w:val="Normal"/>
              <w:spacing w:before="0" w:after="20"/>
              <w:rPr/>
            </w:pPr>
            <w:r>
              <w:rPr>
                <w:sz w:val="19"/>
                <w:szCs w:val="19"/>
              </w:rPr>
              <w:t>razón 0</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0.89</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2/4 (50 %)</w:t>
            </w:r>
          </w:p>
          <w:p>
            <w:pPr>
              <w:pStyle w:val="Normal"/>
              <w:spacing w:before="0" w:after="20"/>
              <w:rPr/>
            </w:pPr>
            <w:r>
              <w:rPr>
                <w:sz w:val="19"/>
                <w:szCs w:val="19"/>
              </w:rPr>
              <w:t>razón 2.66</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25.4 %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0/2 (0 %)</w:t>
            </w:r>
          </w:p>
          <w:p>
            <w:pPr>
              <w:pStyle w:val="Normal"/>
              <w:spacing w:before="0" w:after="20"/>
              <w:rPr/>
            </w:pPr>
            <w:r>
              <w:rPr>
                <w:sz w:val="19"/>
                <w:szCs w:val="19"/>
              </w:rPr>
              <w:t>razón 0</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2/6 (33.3 %)</w:t>
            </w:r>
          </w:p>
          <w:p>
            <w:pPr>
              <w:pStyle w:val="Normal"/>
              <w:spacing w:before="0" w:after="20"/>
              <w:rPr/>
            </w:pPr>
            <w:r>
              <w:rPr>
                <w:sz w:val="19"/>
                <w:szCs w:val="19"/>
              </w:rPr>
              <w:t>razón 1.31</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2/4 (50 %)</w:t>
            </w:r>
          </w:p>
          <w:p>
            <w:pPr>
              <w:pStyle w:val="Normal"/>
              <w:spacing w:before="0" w:after="20"/>
              <w:rPr/>
            </w:pPr>
            <w:r>
              <w:rPr>
                <w:sz w:val="19"/>
                <w:szCs w:val="19"/>
              </w:rPr>
              <w:t>razón 1.96</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32.5 %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0/2 (0 %)</w:t>
            </w:r>
          </w:p>
          <w:p>
            <w:pPr>
              <w:pStyle w:val="Normal"/>
              <w:spacing w:before="0" w:after="20"/>
              <w:rPr/>
            </w:pPr>
            <w:r>
              <w:rPr>
                <w:sz w:val="19"/>
                <w:szCs w:val="19"/>
              </w:rPr>
              <w:t>razón 0</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 (50 %)</w:t>
            </w:r>
          </w:p>
          <w:p>
            <w:pPr>
              <w:pStyle w:val="Normal"/>
              <w:spacing w:before="0" w:after="20"/>
              <w:rPr/>
            </w:pPr>
            <w:r>
              <w:rPr>
                <w:sz w:val="19"/>
                <w:szCs w:val="19"/>
              </w:rPr>
              <w:t>razón 1.54</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2/4 (50 %)</w:t>
            </w:r>
          </w:p>
          <w:p>
            <w:pPr>
              <w:pStyle w:val="Normal"/>
              <w:spacing w:before="0" w:after="20"/>
              <w:rPr/>
            </w:pPr>
            <w:r>
              <w:rPr>
                <w:sz w:val="19"/>
                <w:szCs w:val="19"/>
              </w:rPr>
              <w:t>razón 1.54</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21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36.3 %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 (50 %)</w:t>
            </w:r>
          </w:p>
          <w:p>
            <w:pPr>
              <w:pStyle w:val="Normal"/>
              <w:spacing w:before="0" w:after="20"/>
              <w:rPr/>
            </w:pPr>
            <w:r>
              <w:rPr>
                <w:sz w:val="19"/>
                <w:szCs w:val="19"/>
              </w:rPr>
              <w:t>razón 1.38</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 (50 %)</w:t>
            </w:r>
          </w:p>
          <w:p>
            <w:pPr>
              <w:pStyle w:val="Normal"/>
              <w:spacing w:before="0" w:after="20"/>
              <w:rPr/>
            </w:pPr>
            <w:r>
              <w:rPr>
                <w:sz w:val="19"/>
                <w:szCs w:val="19"/>
              </w:rPr>
              <w:t>razón 1.38</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2/4 (50 %)</w:t>
            </w:r>
          </w:p>
          <w:p>
            <w:pPr>
              <w:pStyle w:val="Normal"/>
              <w:spacing w:before="0" w:after="20"/>
              <w:rPr/>
            </w:pPr>
            <w:r>
              <w:rPr>
                <w:sz w:val="19"/>
                <w:szCs w:val="19"/>
              </w:rPr>
              <w:t>razón 1.38</w:t>
            </w:r>
          </w:p>
        </w:tc>
      </w:tr>
    </w:tbl>
    <w:p>
      <w:pPr>
        <w:pStyle w:val="Normal"/>
        <w:spacing w:before="0" w:after="120"/>
        <w:rPr/>
      </w:pPr>
      <w:r>
        <w:rPr/>
      </w:r>
    </w:p>
    <w:p>
      <w:pPr>
        <w:pStyle w:val="Heading3"/>
        <w:rPr/>
      </w:pPr>
      <w:r>
        <w:rPr/>
        <w:t>Solo incidentes verificados por el autor</w:t>
      </w:r>
    </w:p>
    <w:tbl>
      <w:tblPr>
        <w:tblW w:w="9638" w:type="dxa"/>
        <w:jc w:val="left"/>
        <w:tblInd w:w="0" w:type="dxa"/>
        <w:tblLayout w:type="fixed"/>
        <w:tblCellMar>
          <w:top w:w="60" w:type="dxa"/>
          <w:left w:w="100" w:type="dxa"/>
          <w:bottom w:w="60" w:type="dxa"/>
          <w:right w:w="100" w:type="dxa"/>
        </w:tblCellMar>
      </w:tblPr>
      <w:tblGrid>
        <w:gridCol w:w="1499"/>
        <w:gridCol w:w="1501"/>
        <w:gridCol w:w="2299"/>
        <w:gridCol w:w="2170"/>
        <w:gridCol w:w="2169"/>
      </w:tblGrid>
      <w:tr>
        <w:trPr>
          <w:tblHeader w:val="true"/>
        </w:trPr>
        <w:tc>
          <w:tcPr>
            <w:tcW w:w="14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Ventana</w:t>
            </w:r>
          </w:p>
        </w:tc>
        <w:tc>
          <w:tcPr>
            <w:tcW w:w="15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Cobertura</w:t>
            </w:r>
          </w:p>
        </w:tc>
        <w:tc>
          <w:tcPr>
            <w:tcW w:w="22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Hacktivista</w:t>
            </w:r>
          </w:p>
        </w:tc>
        <w:tc>
          <w:tcPr>
            <w:tcW w:w="217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Cibercriminal</w:t>
            </w:r>
          </w:p>
        </w:tc>
        <w:tc>
          <w:tcPr>
            <w:tcW w:w="216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Desconocido</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18.8 %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1/5 (20 %)</w:t>
            </w:r>
          </w:p>
          <w:p>
            <w:pPr>
              <w:pStyle w:val="Normal"/>
              <w:spacing w:before="0" w:after="20"/>
              <w:rPr/>
            </w:pPr>
            <w:r>
              <w:rPr>
                <w:sz w:val="19"/>
                <w:szCs w:val="19"/>
              </w:rPr>
              <w:t>razón 1.06</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0/6 (0 %)</w:t>
            </w:r>
          </w:p>
          <w:p>
            <w:pPr>
              <w:pStyle w:val="Normal"/>
              <w:spacing w:before="0" w:after="20"/>
              <w:rPr/>
            </w:pPr>
            <w:r>
              <w:rPr>
                <w:sz w:val="19"/>
                <w:szCs w:val="19"/>
              </w:rPr>
              <w:t>razón 0</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 (33.3 %)</w:t>
            </w:r>
          </w:p>
          <w:p>
            <w:pPr>
              <w:pStyle w:val="Normal"/>
              <w:spacing w:before="0" w:after="20"/>
              <w:rPr/>
            </w:pPr>
            <w:r>
              <w:rPr>
                <w:sz w:val="19"/>
                <w:szCs w:val="19"/>
              </w:rPr>
              <w:t>razón 1.77</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7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25.4 %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1/5 (20 %)</w:t>
            </w:r>
          </w:p>
          <w:p>
            <w:pPr>
              <w:pStyle w:val="Normal"/>
              <w:spacing w:before="0" w:after="20"/>
              <w:rPr/>
            </w:pPr>
            <w:r>
              <w:rPr>
                <w:sz w:val="19"/>
                <w:szCs w:val="19"/>
              </w:rPr>
              <w:t>razón 0.79</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0.65</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 (33.3 %)</w:t>
            </w:r>
          </w:p>
          <w:p>
            <w:pPr>
              <w:pStyle w:val="Normal"/>
              <w:spacing w:before="0" w:after="20"/>
              <w:rPr/>
            </w:pPr>
            <w:r>
              <w:rPr>
                <w:sz w:val="19"/>
                <w:szCs w:val="19"/>
              </w:rPr>
              <w:t>razón 1.31</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32.5 %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2/5 (40 %)</w:t>
            </w:r>
          </w:p>
          <w:p>
            <w:pPr>
              <w:pStyle w:val="Normal"/>
              <w:spacing w:before="0" w:after="20"/>
              <w:rPr/>
            </w:pPr>
            <w:r>
              <w:rPr>
                <w:sz w:val="19"/>
                <w:szCs w:val="19"/>
              </w:rPr>
              <w:t>razón 1.23</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0.51</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 (33.3 %)</w:t>
            </w:r>
          </w:p>
          <w:p>
            <w:pPr>
              <w:pStyle w:val="Normal"/>
              <w:spacing w:before="0" w:after="20"/>
              <w:rPr/>
            </w:pPr>
            <w:r>
              <w:rPr>
                <w:sz w:val="19"/>
                <w:szCs w:val="19"/>
              </w:rPr>
              <w:t>razón 1.03</w:t>
            </w:r>
          </w:p>
        </w:tc>
      </w:tr>
      <w:tr>
        <w:trPr/>
        <w:tc>
          <w:tcPr>
            <w:tcW w:w="14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21 días</w:t>
            </w:r>
          </w:p>
        </w:tc>
        <w:tc>
          <w:tcPr>
            <w:tcW w:w="15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36.3 %</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4/5 (80 %)</w:t>
            </w:r>
          </w:p>
          <w:p>
            <w:pPr>
              <w:pStyle w:val="Normal"/>
              <w:spacing w:before="0" w:after="20"/>
              <w:rPr/>
            </w:pPr>
            <w:r>
              <w:rPr>
                <w:sz w:val="19"/>
                <w:szCs w:val="19"/>
              </w:rPr>
              <w:t>razón 2.2</w:t>
            </w:r>
          </w:p>
        </w:tc>
        <w:tc>
          <w:tcPr>
            <w:tcW w:w="217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(16.7 %)</w:t>
            </w:r>
          </w:p>
          <w:p>
            <w:pPr>
              <w:pStyle w:val="Normal"/>
              <w:spacing w:before="0" w:after="20"/>
              <w:rPr/>
            </w:pPr>
            <w:r>
              <w:rPr>
                <w:sz w:val="19"/>
                <w:szCs w:val="19"/>
              </w:rPr>
              <w:t>razón 0.46</w:t>
            </w:r>
          </w:p>
        </w:tc>
        <w:tc>
          <w:tcPr>
            <w:tcW w:w="216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 (33.3 %)</w:t>
            </w:r>
          </w:p>
          <w:p>
            <w:pPr>
              <w:pStyle w:val="Normal"/>
              <w:spacing w:before="0" w:after="20"/>
              <w:rPr/>
            </w:pPr>
            <w:r>
              <w:rPr>
                <w:sz w:val="19"/>
                <w:szCs w:val="19"/>
              </w:rPr>
              <w:t>razón 0.92</w:t>
            </w:r>
          </w:p>
        </w:tc>
      </w:tr>
    </w:tbl>
    <w:p>
      <w:pPr>
        <w:pStyle w:val="Normal"/>
        <w:spacing w:before="0" w:after="120"/>
        <w:rPr/>
      </w:pPr>
      <w:r>
        <w:rPr/>
      </w:r>
    </w:p>
    <w:p>
      <w:pPr>
        <w:pStyle w:val="Normal"/>
        <w:keepNext w:val="true"/>
        <w:spacing w:before="120" w:after="60"/>
        <w:jc w:val="center"/>
        <w:rPr/>
      </w:pPr>
      <w:r>
        <w:rPr/>
        <w:drawing>
          <wp:inline distT="0" distB="0" distL="0" distR="0">
            <wp:extent cx="5715000" cy="3352800"/>
            <wp:effectExtent l="0" t="0" r="0" b="0"/>
            <wp:docPr id="11" name="web_evaluacion.png" descr="Figura 11&#10;Sección «Evaluación del modelo» en la página, con los incidentes sin fecha al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eb_evaluacion.png" descr="Figura 11&#10;Sección «Evaluación del modelo» en la página, con los incidentes sin fecha al pie."/>
                    <pic:cNvPicPr>
                      <a:picLocks noChangeAspect="1" noChangeArrowheads="1"/>
                    </pic:cNvPicPr>
                  </pic:nvPicPr>
                  <pic:blipFill>
                    <a:blip r:embed="rId12"/>
                    <a:stretch>
                      <a:fillRect/>
                    </a:stretch>
                  </pic:blipFill>
                  <pic:spPr bwMode="auto">
                    <a:xfrm>
                      <a:off x="0" y="0"/>
                      <a:ext cx="5715000" cy="3352800"/>
                    </a:xfrm>
                    <a:prstGeom prst="rect">
                      <a:avLst/>
                    </a:prstGeom>
                  </pic:spPr>
                </pic:pic>
              </a:graphicData>
            </a:graphic>
          </wp:inline>
        </w:drawing>
      </w:r>
    </w:p>
    <w:p>
      <w:pPr>
        <w:pStyle w:val="Normal"/>
        <w:spacing w:before="0" w:after="200"/>
        <w:jc w:val="center"/>
        <w:rPr/>
      </w:pPr>
      <w:r>
        <w:rPr>
          <w:b/>
          <w:bCs/>
          <w:color w:val="52514E"/>
          <w:sz w:val="18"/>
          <w:szCs w:val="18"/>
        </w:rPr>
        <w:t xml:space="preserve">Figura 11. </w:t>
      </w:r>
      <w:r>
        <w:rPr>
          <w:i/>
          <w:iCs/>
          <w:color w:val="52514E"/>
          <w:sz w:val="18"/>
          <w:szCs w:val="18"/>
        </w:rPr>
        <w:t>Sección «Evaluación del modelo» en la página, con los incidentes sin fecha al pie.</w:t>
      </w:r>
    </w:p>
    <w:p>
      <w:pPr>
        <w:pStyle w:val="Heading2"/>
        <w:rPr/>
      </w:pPr>
      <w:bookmarkStart w:id="49" w:name="__RefHeading___Toc3221_1804765426"/>
      <w:bookmarkEnd w:id="49"/>
      <w:r>
        <w:rPr/>
        <w:t>15.3. Lectura de los resultados</w:t>
      </w:r>
    </w:p>
    <w:p>
      <w:pPr>
        <w:pStyle w:val="Normal"/>
        <w:spacing w:lineRule="exact" w:line="290" w:before="0" w:after="120"/>
        <w:rPr/>
      </w:pPr>
      <w:r>
        <w:rPr/>
        <w:t xml:space="preserve">Los resultados </w:t>
      </w:r>
      <w:r>
        <w:rPr>
          <w:b/>
          <w:bCs/>
        </w:rPr>
        <w:t>cambian a medida que se completa el histórico de GDELT</w:t>
      </w:r>
      <w:r>
        <w:rPr/>
        <w:t xml:space="preserve"> (decisión D32). Conviene leerlos como una foto de cada momento:</w:t>
      </w:r>
    </w:p>
    <w:tbl>
      <w:tblPr>
        <w:tblW w:w="9638" w:type="dxa"/>
        <w:jc w:val="left"/>
        <w:tblInd w:w="0" w:type="dxa"/>
        <w:tblLayout w:type="fixed"/>
        <w:tblCellMar>
          <w:top w:w="60" w:type="dxa"/>
          <w:left w:w="100" w:type="dxa"/>
          <w:bottom w:w="60" w:type="dxa"/>
          <w:right w:w="100" w:type="dxa"/>
        </w:tblCellMar>
      </w:tblPr>
      <w:tblGrid>
        <w:gridCol w:w="1400"/>
        <w:gridCol w:w="2999"/>
        <w:gridCol w:w="2701"/>
        <w:gridCol w:w="2537"/>
      </w:tblGrid>
      <w:tr>
        <w:trPr>
          <w:tblHeader w:val="true"/>
        </w:trPr>
        <w:tc>
          <w:tcPr>
            <w:tcW w:w="140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29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Datos</w:t>
            </w:r>
          </w:p>
        </w:tc>
        <w:tc>
          <w:tcPr>
            <w:tcW w:w="2701"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Hacktivistas (21 días)</w:t>
            </w:r>
          </w:p>
        </w:tc>
        <w:tc>
          <w:tcPr>
            <w:tcW w:w="2537"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Cibercriminales (21 días)</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29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~199 eventos geopolíticos; 23 incidentes</w:t>
            </w:r>
          </w:p>
        </w:tc>
        <w:tc>
          <w:tcPr>
            <w:tcW w:w="27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1,92 (todos) · 1,68 (media/alta)</w:t>
            </w:r>
          </w:p>
        </w:tc>
        <w:tc>
          <w:tcPr>
            <w:tcW w:w="25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0,75 · 0,84</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 (mañana)</w:t>
            </w:r>
          </w:p>
        </w:tc>
        <w:tc>
          <w:tcPr>
            <w:tcW w:w="29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~691 eventos geopolíticos; 10 incidentes verificados</w:t>
            </w:r>
          </w:p>
        </w:tc>
        <w:tc>
          <w:tcPr>
            <w:tcW w:w="27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1,57 (todos) · 1,38 (media/alta)</w:t>
            </w:r>
          </w:p>
        </w:tc>
        <w:tc>
          <w:tcPr>
            <w:tcW w:w="25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0,92 · 1,38</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 (tarde)</w:t>
            </w:r>
          </w:p>
        </w:tc>
        <w:tc>
          <w:tcPr>
            <w:tcW w:w="29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16 verificados, 2 descartados</w:t>
            </w:r>
          </w:p>
        </w:tc>
        <w:tc>
          <w:tcPr>
            <w:tcW w:w="2701"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1,83 (todos) · 2,20 (solo verificados)</w:t>
            </w:r>
          </w:p>
        </w:tc>
        <w:tc>
          <w:tcPr>
            <w:tcW w:w="2537"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razón 0,92 · 0,46</w:t>
            </w:r>
          </w:p>
        </w:tc>
      </w:tr>
    </w:tbl>
    <w:p>
      <w:pPr>
        <w:pStyle w:val="Normal"/>
        <w:spacing w:before="0" w:after="120"/>
        <w:rPr/>
      </w:pPr>
      <w:r>
        <w:rPr/>
      </w:r>
    </w:p>
    <w:p>
      <w:pPr>
        <w:pStyle w:val="ListParagraph"/>
        <w:numPr>
          <w:ilvl w:val="0"/>
          <w:numId w:val="3"/>
        </w:numPr>
        <w:spacing w:before="0" w:after="60"/>
        <w:rPr/>
      </w:pPr>
      <w:r>
        <w:rPr/>
        <w:t xml:space="preserve">Con más noticias detonantes, las ventanas cubren más días (con 21 días, cerca del 36 % del período). Así la ventaja de los hacktivistas se achica y, con confianza media o alta, se iguala a la de los cibercriminales. </w:t>
      </w:r>
      <w:r>
        <w:rPr>
          <w:b/>
          <w:bCs/>
        </w:rPr>
        <w:t>La hipótesis no puede confirmarse con los datos actuales.</w:t>
      </w:r>
    </w:p>
    <w:p>
      <w:pPr>
        <w:pStyle w:val="ListParagraph"/>
        <w:numPr>
          <w:ilvl w:val="0"/>
          <w:numId w:val="3"/>
        </w:numPr>
        <w:spacing w:before="0" w:after="60"/>
        <w:rPr/>
      </w:pPr>
      <w:r>
        <w:rPr/>
        <w:t xml:space="preserve">Con solo los incidentes </w:t>
      </w:r>
      <w:r>
        <w:rPr>
          <w:b/>
          <w:bCs/>
        </w:rPr>
        <w:t>verificados</w:t>
      </w:r>
      <w:r>
        <w:rPr/>
        <w:t xml:space="preserve"> (16, tras descartar 2), los hacktivistas caen dentro de las ventanas de 21 días en 4 de 5 casos (razón 2,20), frente a 1 de 6 de los cibercriminales (razón 0,46). Es la diferencia más clara obtenida hasta ahora.</w:t>
      </w:r>
    </w:p>
    <w:p>
      <w:pPr>
        <w:pStyle w:val="ListParagraph"/>
        <w:numPr>
          <w:ilvl w:val="0"/>
          <w:numId w:val="3"/>
        </w:numPr>
        <w:spacing w:before="0" w:after="60"/>
        <w:rPr/>
      </w:pPr>
      <w:r>
        <w:rPr>
          <w:b/>
          <w:bCs/>
        </w:rPr>
        <w:t>Pero</w:t>
      </w:r>
      <w:r>
        <w:rPr/>
        <w:t xml:space="preserve"> 4 de esos 5 hacktivistas se apoyan en fuentes de fiabilidad </w:t>
      </w:r>
      <w:r>
        <w:rPr>
          <w:b/>
          <w:bCs/>
        </w:rPr>
        <w:t>D</w:t>
      </w:r>
      <w:r>
        <w:rPr/>
        <w:t xml:space="preserve"> (no siempre fiable): por eso, con la variante de confianza media o alta casi no quedan hacktivistas para comparar. El resultado es </w:t>
      </w:r>
      <w:r>
        <w:rPr>
          <w:b/>
          <w:bCs/>
        </w:rPr>
        <w:t>indicativo, no concluyente</w:t>
      </w:r>
      <w:r>
        <w:rPr/>
        <w:t>, y muestra la limitación central del tema: hay pocas fuentes fiables sobre hacktivismo, que se anuncia sobre todo en Telegram y X (decisión D33).</w:t>
      </w:r>
    </w:p>
    <w:p>
      <w:pPr>
        <w:pStyle w:val="ListParagraph"/>
        <w:numPr>
          <w:ilvl w:val="0"/>
          <w:numId w:val="3"/>
        </w:numPr>
        <w:spacing w:before="0" w:after="60"/>
        <w:rPr/>
      </w:pPr>
      <w:r>
        <w:rPr/>
        <w:t xml:space="preserve">Dos casos siguen ilustrando una posible reacción a las </w:t>
      </w:r>
      <w:r>
        <w:rPr>
          <w:b/>
          <w:bCs/>
        </w:rPr>
        <w:t>dos o tres semanas</w:t>
      </w:r>
      <w:r>
        <w:rPr/>
        <w:t>: LulzSec Muslims (16 días después de la visita a Israel de 2024) y el intento de DDoS a la Cancillería (19 días después del ingreso al Board of Peace).</w:t>
      </w:r>
    </w:p>
    <w:p>
      <w:pPr>
        <w:pStyle w:val="ListParagraph"/>
        <w:numPr>
          <w:ilvl w:val="0"/>
          <w:numId w:val="3"/>
        </w:numPr>
        <w:spacing w:before="0" w:after="60"/>
        <w:rPr/>
      </w:pPr>
      <w:r>
        <w:rPr/>
        <w:t xml:space="preserve">Si la cobertura sigue creciendo al completarse el histórico, habrá que </w:t>
      </w:r>
      <w:r>
        <w:rPr>
          <w:b/>
          <w:bCs/>
        </w:rPr>
        <w:t>recalibrar el umbral de detonante</w:t>
      </w:r>
      <w:r>
        <w:rPr/>
        <w:t xml:space="preserve"> (por ejemplo, exigir 3 fuentes distintas por día) para que las ventanas sigan siendo selectivas.</w:t>
      </w:r>
    </w:p>
    <w:p>
      <w:pPr>
        <w:pStyle w:val="ListParagraph"/>
        <w:numPr>
          <w:ilvl w:val="0"/>
          <w:numId w:val="3"/>
        </w:numPr>
        <w:spacing w:before="0" w:after="60"/>
        <w:rPr/>
      </w:pPr>
      <w:r>
        <w:rPr>
          <w:b/>
          <w:bCs/>
        </w:rPr>
        <w:t>Falsos positivos observados:</w:t>
      </w:r>
      <w:r>
        <w:rPr/>
        <w:t xml:space="preserve"> el defacement de argentina.gob.ar (19/10/2023), de motivación interna, dentro de la ventana posterior al 7 de octubre; y una noticia sobre la detención de personas que amenazaron con bombas, clasificada como ataque por las palabras clave.</w:t>
      </w:r>
    </w:p>
    <w:p>
      <w:pPr>
        <w:pStyle w:val="Normal"/>
        <w:pBdr>
          <w:left w:val="single" w:sz="18" w:space="8" w:color="2A78D6"/>
        </w:pBdr>
        <w:shd w:val="clear" w:fill="EAF1FB"/>
        <w:spacing w:before="120" w:after="160"/>
        <w:ind w:left="200" w:right="200"/>
        <w:rPr/>
      </w:pPr>
      <w:r>
        <w:rPr>
          <w:b/>
          <w:bCs/>
        </w:rPr>
        <w:t>Advertencia:</w:t>
      </w:r>
      <w:r>
        <w:rPr/>
        <w:t xml:space="preserve"> son muy pocos incidentes y casi todos sin verificar. Estos números ilustran el </w:t>
      </w:r>
      <w:r>
        <w:rPr>
          <w:b/>
          <w:bCs/>
        </w:rPr>
        <w:t>método</w:t>
      </w:r>
      <w:r>
        <w:rPr/>
        <w:t>; no permiten conclusiones. Al completarse el histórico de GDELT y verificarse los incidentes, la tabla se recalcula sola.</w:t>
      </w:r>
    </w:p>
    <w:p>
      <w:pPr>
        <w:pStyle w:val="Heading2"/>
        <w:rPr/>
      </w:pPr>
      <w:bookmarkStart w:id="50" w:name="__RefHeading___Toc3223_1804765426"/>
      <w:bookmarkEnd w:id="50"/>
      <w:r>
        <w:rPr/>
        <w:t>15.4. Extensión del período hasta la actualidad</w:t>
      </w:r>
    </w:p>
    <w:p>
      <w:pPr>
        <w:pStyle w:val="Normal"/>
        <w:spacing w:lineRule="exact" w:line="290" w:before="0" w:after="120"/>
        <w:rPr/>
      </w:pPr>
      <w:r>
        <w:rPr/>
        <w:t xml:space="preserve">A pedido del autor, el período histórico se extendió a </w:t>
      </w:r>
      <w:r>
        <w:rPr>
          <w:b/>
          <w:bCs/>
        </w:rPr>
        <w:t>01/08/2023 – 11/10/2026</w:t>
      </w:r>
      <w:r>
        <w:rPr/>
        <w:t xml:space="preserve"> (el día anterior al inicio del monitoreo en vivo). El caso de estudio original se mantiene como período predefinido en la página. La descarga de GDELT conserva lo ya obtenido y pasa de 196 a 623 tramos, por lo que tardará varios días más en completarse.</w:t>
      </w:r>
    </w:p>
    <w:p>
      <w:pPr>
        <w:pStyle w:val="Normal"/>
        <w:keepNext w:val="true"/>
        <w:spacing w:before="120" w:after="60"/>
        <w:jc w:val="center"/>
        <w:rPr/>
      </w:pPr>
      <w:r>
        <w:rPr/>
        <w:drawing>
          <wp:inline distT="0" distB="0" distL="0" distR="0">
            <wp:extent cx="5715000" cy="4019550"/>
            <wp:effectExtent l="0" t="0" r="0" b="0"/>
            <wp:docPr id="12" name="web_periodo_completo.png" descr="Figura 12&#10;Vista del período completo (agosto 2023 – hoy) con los incidentes cargados y la descarga de GDELT todavía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eb_periodo_completo.png" descr="Figura 12&#10;Vista del período completo (agosto 2023 – hoy) con los incidentes cargados y la descarga de GDELT todavía en curso."/>
                    <pic:cNvPicPr>
                      <a:picLocks noChangeAspect="1" noChangeArrowheads="1"/>
                    </pic:cNvPicPr>
                  </pic:nvPicPr>
                  <pic:blipFill>
                    <a:blip r:embed="rId13"/>
                    <a:stretch>
                      <a:fillRect/>
                    </a:stretch>
                  </pic:blipFill>
                  <pic:spPr bwMode="auto">
                    <a:xfrm>
                      <a:off x="0" y="0"/>
                      <a:ext cx="5715000" cy="4019550"/>
                    </a:xfrm>
                    <a:prstGeom prst="rect">
                      <a:avLst/>
                    </a:prstGeom>
                  </pic:spPr>
                </pic:pic>
              </a:graphicData>
            </a:graphic>
          </wp:inline>
        </w:drawing>
      </w:r>
    </w:p>
    <w:p>
      <w:pPr>
        <w:pStyle w:val="Normal"/>
        <w:spacing w:before="0" w:after="200"/>
        <w:jc w:val="center"/>
        <w:rPr/>
      </w:pPr>
      <w:r>
        <w:rPr>
          <w:b/>
          <w:bCs/>
          <w:color w:val="52514E"/>
          <w:sz w:val="18"/>
          <w:szCs w:val="18"/>
        </w:rPr>
        <w:t xml:space="preserve">Figura 12. </w:t>
      </w:r>
      <w:r>
        <w:rPr>
          <w:i/>
          <w:iCs/>
          <w:color w:val="52514E"/>
          <w:sz w:val="18"/>
          <w:szCs w:val="18"/>
        </w:rPr>
        <w:t>Vista del período completo (agosto 2023 – hoy) con los incidentes cargados y la descarga de GDELT todavía en curso.</w:t>
      </w:r>
    </w:p>
    <w:p>
      <w:pPr>
        <w:pStyle w:val="Normal"/>
        <w:keepNext w:val="true"/>
        <w:spacing w:before="120" w:after="60"/>
        <w:jc w:val="center"/>
        <w:rPr/>
      </w:pPr>
      <w:r>
        <w:rPr/>
        <w:drawing>
          <wp:inline distT="0" distB="0" distL="0" distR="0">
            <wp:extent cx="5715000" cy="1704975"/>
            <wp:effectExtent l="0" t="0" r="0" b="0"/>
            <wp:docPr id="13" name="web_linea_caso.png" descr="Figura 13&#10;Línea de tiempo del caso de estudio (ago 2023 – jul 2024): ventanas amarillas, períodos en rojo e incidentes cargados (romb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b_linea_caso.png" descr="Figura 13&#10;Línea de tiempo del caso de estudio (ago 2023 – jul 2024): ventanas amarillas, períodos en rojo e incidentes cargados (rombos)."/>
                    <pic:cNvPicPr>
                      <a:picLocks noChangeAspect="1" noChangeArrowheads="1"/>
                    </pic:cNvPicPr>
                  </pic:nvPicPr>
                  <pic:blipFill>
                    <a:blip r:embed="rId14"/>
                    <a:stretch>
                      <a:fillRect/>
                    </a:stretch>
                  </pic:blipFill>
                  <pic:spPr bwMode="auto">
                    <a:xfrm>
                      <a:off x="0" y="0"/>
                      <a:ext cx="5715000" cy="1704975"/>
                    </a:xfrm>
                    <a:prstGeom prst="rect">
                      <a:avLst/>
                    </a:prstGeom>
                  </pic:spPr>
                </pic:pic>
              </a:graphicData>
            </a:graphic>
          </wp:inline>
        </w:drawing>
      </w:r>
    </w:p>
    <w:p>
      <w:pPr>
        <w:pStyle w:val="Normal"/>
        <w:spacing w:before="0" w:after="200"/>
        <w:jc w:val="center"/>
        <w:rPr/>
      </w:pPr>
      <w:r>
        <w:rPr>
          <w:b/>
          <w:bCs/>
          <w:color w:val="52514E"/>
          <w:sz w:val="18"/>
          <w:szCs w:val="18"/>
        </w:rPr>
        <w:t xml:space="preserve">Figura 13. </w:t>
      </w:r>
      <w:r>
        <w:rPr>
          <w:i/>
          <w:iCs/>
          <w:color w:val="52514E"/>
          <w:sz w:val="18"/>
          <w:szCs w:val="18"/>
        </w:rPr>
        <w:t>Línea de tiempo del caso de estudio (ago 2023 – jul 2024): ventanas amarillas, períodos en rojo e incidentes cargados (rombos).</w:t>
      </w:r>
      <w:r>
        <w:br w:type="page"/>
      </w:r>
    </w:p>
    <w:p>
      <w:pPr>
        <w:pStyle w:val="Heading1"/>
        <w:rPr/>
      </w:pPr>
      <w:bookmarkStart w:id="51" w:name="__RefHeading___Toc3225_1804765426"/>
      <w:bookmarkEnd w:id="51"/>
      <w:r>
        <w:rPr/>
        <w:t>Anexo A. Bitácora del proyecto</w:t>
      </w:r>
    </w:p>
    <w:p>
      <w:pPr>
        <w:pStyle w:val="Normal"/>
        <w:spacing w:lineRule="exact" w:line="290" w:before="0" w:after="120"/>
        <w:rPr/>
      </w:pPr>
      <w:r>
        <w:rPr/>
        <w:t>Registro cronológico de todo lo realizado. Se actualiza con cada avance.</w:t>
      </w:r>
    </w:p>
    <w:tbl>
      <w:tblPr>
        <w:tblW w:w="9638" w:type="dxa"/>
        <w:jc w:val="left"/>
        <w:tblInd w:w="0" w:type="dxa"/>
        <w:tblLayout w:type="fixed"/>
        <w:tblCellMar>
          <w:top w:w="60" w:type="dxa"/>
          <w:left w:w="100" w:type="dxa"/>
          <w:bottom w:w="60" w:type="dxa"/>
          <w:right w:w="100" w:type="dxa"/>
        </w:tblCellMar>
      </w:tblPr>
      <w:tblGrid>
        <w:gridCol w:w="1250"/>
        <w:gridCol w:w="1650"/>
        <w:gridCol w:w="2299"/>
        <w:gridCol w:w="4438"/>
      </w:tblGrid>
      <w:tr>
        <w:trPr>
          <w:tblHeader w:val="true"/>
        </w:trPr>
        <w:tc>
          <w:tcPr>
            <w:tcW w:w="12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Fecha</w:t>
            </w:r>
          </w:p>
        </w:tc>
        <w:tc>
          <w:tcPr>
            <w:tcW w:w="1650"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Tipo</w:t>
            </w:r>
          </w:p>
        </w:tc>
        <w:tc>
          <w:tcPr>
            <w:tcW w:w="22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Hito</w:t>
            </w:r>
          </w:p>
        </w:tc>
        <w:tc>
          <w:tcPr>
            <w:tcW w:w="44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Detalle</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Planificación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Definición de requisitos y plan de trabajo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planteó la plataforma (fuentes, palabras clave, semáforo, pantalla única, modo histórico, Fase 2 con IA, documentación en español). Se propuso un plan de 9 pasos y el autor lo aprobó antes de empezar.</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Problema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entorno de desarrollo no puede acceder a los feeds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entorno en la nube donde se escribe el código tiene la salida a internet restringida (HTTP 403 del proxy). Se decidió probar las fuentes desde los servidores de GitHub Actions, que es donde la plataforma funciona realmente.</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Problema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Error 403 al subir el código al repositorio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aplicación de Claude no tenía permiso sobre el repositorio gastonaizama/Tfm. El autor instaló/reconectó la Claude GitHub App y el envío funcionó.</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 de disponibilidad de fuentes en GitHub Actions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Los 6 feeds RSS respondieron (WeLiveSecurity con la URL /es/rss/feed/). GDELT devolvió artículos de 2023-2024 por rango de fechas (histórico viable), pero con frecuentes rechazos HTTP 429 por límite de uso.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Desarrollo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Primera versión completa de la plataforma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Motor en Python (conectores RSS y GDELT, clasificador por palabras clave, mapeo MITRE ATT&amp;CK, semáforo con ventana configurable, modo histórico), página web de una sola pantalla, workflows de GitHub Actions, 13 pruebas automáticas, README y documento de decisiones técnicas.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Problema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Las verificaciones se cortaban a los 30 minutos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Un mes de histórico de GDELT no terminó en 30 minutos. Medición: una consulta útil cada 20 s a 3,5 min; las consultas geopolíticas llegaban al tope de 250 artículos incluso en tramos de 3 días.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Desarrollo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Rediseño: histórico de GDELT por partes y reanudable</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Consultas español/inglés unificadas, orden por relevancia, tramos de 2 días (geo) y 30 días (ciber), progreso guardado, presupuesto de 40 minutos por ejecución y nuevo workflow 'Completar histórico' cada hora.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completa exitosa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Pruebas, histórico (detención controlada ante rechazos) y revisión en vivo correctas. El clasificador detectó un ataque real: 'Un hackeo mundial: el ciberataque a la Asociación del Fútbol Argentino' (WeLiveSecurity).</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Prueba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Diagnóstico de consultas a GDELT</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3 de 5 consultas de prueba rechazadas (HTTP 429). Conclusión: en vivo los RSS son la fuente principal y GDELT es complementario; GDELT es más valioso para el análisis histórico (decisión D8b).</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 de GitHub por el autor</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Pages con origen 'GitHub Actions' y permisos de lectura y escritura para los workflows.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Creación de la rama main</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 autorización del autor se creó la rama main y el autor la marcó como rama principal del repositorio.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Problema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La primera publicación de la web fue rechazada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entorno github-pages solo permitía publicar desde la rama de desarrollo (era la principal cuando se activó Pages). El autor agregó main a las reglas del entorno y la publicación funcionó.</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Hito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Plataforma publicada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Primera revisión oficial desde main y publicación en https://gastonaizama.github.io/Tfm/.</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Pull Request #1 fusionado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incorporó a main la decisión técnica D8b. El autor revisó y fusionó el Pull Request desde la web de GitHub.</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12/10/2026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Inicio de la descarga del histórico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lanzó manualmente el workflow 'Completar histórico' para no esperar a que GitHub active la programación horaria.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Creación de esta memoria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Documento Word generado automáticamente desde el repositorio (memoria/generar_memoria.js), con capturas de pantalla, que se actualiza con cada avance del proyecto.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13/10/2026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Investigación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Búsqueda inicial de incidentes conocidos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Búsqueda web en fuentes abiertas (medios argentinos, sitios de inteligencia de amenazas, informes de empresas de seguridad). Se identificaron 3 candidatos dentro del período (Cyber Dragonz, LulzSec Muslims, REM) y 2 inmediatamente posteriores (agosto 2024). Ninguno fue cargado: quedan pendientes de validación por el autor.</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Investigación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Búsqueda inicial de incidentes candidatos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pedido del autor se buscaron ataques contra el Estado argentino, vinculados o no a conflictos geopolíticos. Se identificaron 13 candidatos (7 hacktivistas pro-Palestina, entre ellos Cyber Dragonz, LulzSec Muslims, REM y Stucx Team, y 6 cibercriminales o de motivación desconocida). Se guardaron en datos/candidatos_incidentes.csv, pendientes de validación por el autor.</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Grupo de comparación para evaluar la hipótesis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propuso incluir también ataques sin motivación geopolítica, etiquetados por tipo de actor, para comparar si los ataques hacktivistas se concentran en las ventanas de vigilancia más que los cibercriminales.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Carga de los 13 incidentes candidatos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decidió cargar los 13 candidatos en datos/incidentes_historicos.csv, todos marcados como no verificados. Los 2 sin fecha conocida (REM y Stucx Team) se listan, pero no entran al cálculo.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Desarrollo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Evaluación del modelo por tipo de actor</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Nuevas columnas tipo_actor y fecha_precision. Nuevo módulo de evaluación que compara, para ventanas de 3, 7, 14 y 21 días, el porcentaje de ataques dentro de las ventanas con la cobertura esperable por azar. Se muestra en la web en la sección 'Evaluación del modelo'. Total de pruebas automáticas: 15.</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Extensión del período histórico hasta la actualidad</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período pasa a ser 01/08/2023 – 11/10/2026 (el día anterior al inicio del monitoreo en vivo). El caso de estudio original se conserva como período predefinido. La descarga de GDELT conserva lo ya descargado (44 tramos, ~10.000 artículos) y pasa de 196 a 623 tramos.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Primeros resultados preliminares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 21 días de ventana, 3 de 5 ataques hacktivistas con fecha caen dentro de ventanas (60 %) frente a una cobertura del 18 % (razón 3,3). Con 7 días ninguno cae dentro. El defacement de argentina.gob.ar (19/10/2023, motivación interna) cae dentro de la ventana posterior al 7 de octubre: ejemplo de falso positivo.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Investigación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Segunda lista de candidatos (agosto 2024 – hoy)</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Para el período extendido se identificaron 8 hechos clave (segunda y tercera visita de Milei a Israel, ingreso al Board of Peace, guerra de EE. UU. e Israel contra Irán, expulsión del encargado de negocios iraní, entre otros) y 10 incidentes (entre ellos el intento de DDoS a la Cancillería del 05/02/2026, atribuido a una campaña hacktivista contra los países del Board of Peace). Guardados en datos/candidatos_hechos_clave.csv y datos/candidatos_incidentes.csv, pendientes de decisión.</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Pull Request #2 fusionado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fusionó el PR con los 13 incidentes, la evaluación del modelo y el período extendido. Antes se resolvió un conflicto en web/datos.json causado por las actualizaciones automáticas de main.</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Decisión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Carga de la segunda lista con filtro por confianza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eligió cargar todos los candidatos (opción A) para mantener el mismo criterio en todo el período y no vaciar el grupo de comparación. Se agregó a la evaluación una segunda variante que solo usa incidentes de confianza media o alta.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Resultados con 23 incidentes y 16 hechos clave</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 ventana de 21 días, los hacktivistas tienen una razón de 1,92 (todos los incidentes) y 1,68 (solo confianza media/alta), frente a 0,75 y 0,84 de los cibercriminales. Con 7 días, ningún ataque hacktivista cae dentro de las ventanas. El patrón se mantiene en ambas variantes.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14/10/2026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Pull Request #3 fusionado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fusionó el PR con la segunda lista (23 incidentes y 16 hechos clave en total) y la evaluación con filtro por confianza.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17/10/2026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Metodología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Método de verificación de los datos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definió cómo verificar cada incidente y hecho clave: comprobar la fuente y la fecha real del hecho, corroborar con una fuente independiente, buscar evidencia técnica (Wayback Machine, Zone-H, ransomware.live) y calificar con el Código Almirantazgo (fiabilidad A–F y credibilidad 1–6). Decisión final: confirmado, reivindicado sin confirmar o descartado.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17/10/2026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Planilla de verificación</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 generó datos/verificacion/planilla_verificacion.xlsx con los 23 incidentes (ordenados por prioridad) y los 16 hechos clave, columnas a completar con listas desplegables y un resumen de avance automático.</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17/10/2026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Documentación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Planilla ordenada por fecha</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 pedido del autor, los incidentes de la planilla de verificación se ordenaron del más reciente al más antiguo (los de fecha desconocida, al final). La columna de prioridad se mantiene para filtrar.</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verificó 10 incidentes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Códigos asignados: INC-021 C3, INC-020 B2, INC-019 C4, INC-018 B2, INC-017 A1, INC-016 B4, INC-015 A1, INC-014 B3, INC-008 A1, INC-007 A1. Se marcaron como verificados y su confianza se derivó del código (decisión D30).</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Desarrollo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Evaluación 'solo verificados' y depuración de duplicados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Nueva variante de la evaluación con los incidentes verificados. En el grupo detectado en noticias se cuenta un evento por día, porque cinco artículos italianos describían la misma filtración (D31). Se detectó un falso positivo del clasificador (detención por amenazas de bomba).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Resultados actualizados con más histórico de GDELT</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 127 tramos descargados (unos 28.000 artículos) los eventos geopolíticos pasaron de 199 a 691 y la cobertura de las ventanas aumentó. Con 21 días: hacktivistas razón 1,57 y cibercriminales 0,92 (todos); 1,38 para ambos (confianza media/alta); en 'solo verificados' hay un único incidente hacktivista, insuficiente para concluir (D32).</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Configuración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Pull Request #4 fusionado</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El autor fusionó el PR con los primeros 10 incidentes verificados y la variante 'solo verificados'.</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Verificación de incidentes hacktivistas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INC-002, INC-004 e INC-005: D3; INC-006: D2. INC-001 (Cyber Dragonz) e INC-003 (REM) descartados por no guardar relación con el Estado argentino (D33). Queda pendiente INC-022 (AFA).</w:t>
            </w:r>
          </w:p>
        </w:tc>
      </w:tr>
      <w:tr>
        <w:trPr/>
        <w:tc>
          <w:tcPr>
            <w:tcW w:w="12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18/10/2026</w:t>
            </w:r>
          </w:p>
        </w:tc>
        <w:tc>
          <w:tcPr>
            <w:tcW w:w="1650"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Resultados con incidentes verificados</w:t>
            </w:r>
          </w:p>
        </w:tc>
        <w:tc>
          <w:tcPr>
            <w:tcW w:w="44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Solo verificados, ventana de 21 días: hacktivistas 4 de 5 dentro de ventanas (razón 2,20) frente a cibercriminales 1 de 6 (razón 0,46). Con 14 días: 1,23 frente a 0,51. Cuatro de los cinco hacktivistas verificados tienen fuentes de fiabilidad D: resultado indicativo, no concluyente.</w:t>
            </w:r>
          </w:p>
        </w:tc>
      </w:tr>
    </w:tbl>
    <w:p>
      <w:pPr>
        <w:pStyle w:val="Heading1"/>
        <w:rPr/>
      </w:pPr>
      <w:r>
        <w:br w:type="page"/>
      </w:r>
      <w:bookmarkStart w:id="52" w:name="__RefHeading___Toc3227_1804765426"/>
      <w:bookmarkEnd w:id="52"/>
      <w:r>
        <w:rPr/>
        <w:t>Anexo B. Glosario</w:t>
      </w:r>
    </w:p>
    <w:tbl>
      <w:tblPr>
        <w:tblW w:w="9638" w:type="dxa"/>
        <w:jc w:val="left"/>
        <w:tblInd w:w="0" w:type="dxa"/>
        <w:tblLayout w:type="fixed"/>
        <w:tblCellMar>
          <w:top w:w="60" w:type="dxa"/>
          <w:left w:w="100" w:type="dxa"/>
          <w:bottom w:w="60" w:type="dxa"/>
          <w:right w:w="100" w:type="dxa"/>
        </w:tblCellMar>
      </w:tblPr>
      <w:tblGrid>
        <w:gridCol w:w="2399"/>
        <w:gridCol w:w="7238"/>
      </w:tblGrid>
      <w:tr>
        <w:trPr>
          <w:tblHeader w:val="true"/>
        </w:trPr>
        <w:tc>
          <w:tcPr>
            <w:tcW w:w="2399"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Término</w:t>
            </w:r>
          </w:p>
        </w:tc>
        <w:tc>
          <w:tcPr>
            <w:tcW w:w="7238" w:type="dxa"/>
            <w:tcBorders>
              <w:top w:val="single" w:sz="4" w:space="0" w:color="BFBFBF"/>
              <w:left w:val="single" w:sz="4" w:space="0" w:color="BFBFBF"/>
              <w:bottom w:val="single" w:sz="4" w:space="0" w:color="BFBFBF"/>
              <w:right w:val="single" w:sz="4" w:space="0" w:color="BFBFBF"/>
            </w:tcBorders>
            <w:shd w:fill="1F4E79" w:val="clear"/>
          </w:tcPr>
          <w:p>
            <w:pPr>
              <w:pStyle w:val="Normal"/>
              <w:spacing w:before="0" w:after="20"/>
              <w:rPr/>
            </w:pPr>
            <w:r>
              <w:rPr>
                <w:b/>
                <w:bCs/>
                <w:color w:val="FFFFFF"/>
                <w:sz w:val="19"/>
                <w:szCs w:val="19"/>
              </w:rPr>
              <w:t>Significado</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API</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Interfaz que permite a un programa pedir datos a otro servicio (por ejemplo, GDELT).</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Commit</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Registro de un conjunto de cambios en el repositorio, con fecha y descripción.</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CSV</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Archivo de texto con datos en columnas separadas por comas; se abre con Excel.</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CTI</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Cyber Threat Intelligence: inteligencia sobre amenazas cibernéticas.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Cron</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Forma de indicar cada cuánto se ejecuta una tarea programada.</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DDoS</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Ataque de denegación de servicio distribuido: satura un sitio hasta dejarlo inaccesible.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Defacement</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Modificación no autorizada de la apariencia de un sitio web.</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GDELT</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Proyecto que indexa noticias de todo el mundo y ofrece una API pública.</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Actions</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Servicio de GitHub que ejecuta programas automáticamente en sus servidores.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GitHub Pages</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Servicio de GitHub que publica páginas web gratuitas.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Hacktivismo</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Ciberataques con motivación política o ideológica.</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HTTP 403 / 404 / 429</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Respuestas de un servidor: acceso denegado / no encontrado / demasiadas consultas.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JSON</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Formato de texto para guardar datos estructurados.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MITRE ATT&amp;CK</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Matriz pública que cataloga tácticas y técnicas de ataque.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OSINT</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Inteligencia de fuentes abiertas (información pública).</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Pull Request</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Propuesta de cambios que se revisa y aprueba antes de incorporarla a la rama principal.</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Rama (branch)</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Línea de trabajo paralela dentro de un repositorio; main es la principal.</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Repositorio</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Carpeta en GitHub con el código, los datos y su historial.</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RSS</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Formato con el que los medios publican sus últimas noticias para ser leídas automáticamente.</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Secreto (GitHub)</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Valor confidencial (por ejemplo, una API key) que GitHub guarda cifrado y no muestra.</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TTP</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Tácticas, técnicas y procedimientos de un actor de amenazas.</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Workflow</w:t>
            </w:r>
          </w:p>
        </w:tc>
        <w:tc>
          <w:tcPr>
            <w:tcW w:w="7238" w:type="dxa"/>
            <w:tcBorders>
              <w:top w:val="single" w:sz="4" w:space="0" w:color="BFBFBF"/>
              <w:left w:val="single" w:sz="4" w:space="0" w:color="BFBFBF"/>
              <w:bottom w:val="single" w:sz="4" w:space="0" w:color="BFBFBF"/>
              <w:right w:val="single" w:sz="4" w:space="0" w:color="BFBFBF"/>
            </w:tcBorders>
          </w:tcPr>
          <w:p>
            <w:pPr>
              <w:pStyle w:val="Normal"/>
              <w:spacing w:before="0" w:after="20"/>
              <w:rPr/>
            </w:pPr>
            <w:r>
              <w:rPr>
                <w:sz w:val="19"/>
                <w:szCs w:val="19"/>
              </w:rPr>
              <w:t>Tarea automática definida en GitHub Actions.</w:t>
            </w:r>
          </w:p>
        </w:tc>
      </w:tr>
    </w:tbl>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F8E86"/>
        <w:sz w:val="16"/>
        <w:szCs w:val="16"/>
      </w:rPr>
      <w:t xml:space="preserve">Página </w:t>
    </w:r>
    <w:r>
      <w:rPr/>
      <w:fldChar w:fldCharType="begin"/>
    </w:r>
    <w:r>
      <w:rPr/>
      <w:instrText xml:space="preserve"> PAGE </w:instrText>
    </w:r>
    <w:r>
      <w:rPr/>
      <w:fldChar w:fldCharType="separate"/>
    </w:r>
    <w:r>
      <w:rPr/>
      <w:t>35</w:t>
    </w:r>
    <w:r>
      <w:rPr/>
      <w:fldChar w:fldCharType="end"/>
    </w:r>
    <w:r>
      <w:rPr>
        <w:color w:val="8F8E86"/>
        <w:sz w:val="16"/>
        <w:szCs w:val="16"/>
      </w:rPr>
      <w:t xml:space="preserve"> · Versión 0.8 (18/10/2026)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F8E86"/>
        <w:sz w:val="16"/>
        <w:szCs w:val="16"/>
      </w:rPr>
      <w:t xml:space="preserve">Página </w:t>
    </w:r>
    <w:r>
      <w:rPr/>
      <w:fldChar w:fldCharType="begin"/>
    </w:r>
    <w:r>
      <w:rPr/>
      <w:instrText xml:space="preserve"> PAGE </w:instrText>
    </w:r>
    <w:r>
      <w:rPr/>
      <w:fldChar w:fldCharType="separate"/>
    </w:r>
    <w:r>
      <w:rPr/>
      <w:t>35</w:t>
    </w:r>
    <w:r>
      <w:rPr/>
      <w:fldChar w:fldCharType="end"/>
    </w:r>
    <w:r>
      <w:rPr>
        <w:color w:val="8F8E86"/>
        <w:sz w:val="16"/>
        <w:szCs w:val="16"/>
      </w:rPr>
      <w:t xml:space="preserve"> · Versión 0.8 (18/10/2026)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F8E86"/>
        <w:sz w:val="16"/>
        <w:szCs w:val="16"/>
      </w:rPr>
      <w:t>Memoria de trabajo · Monitor Ciber-Geopolítico Argentina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F8E86"/>
        <w:sz w:val="16"/>
        <w:szCs w:val="16"/>
      </w:rPr>
      <w:t>Memoria de trabajo · Monitor Ciber-Geopolítico Argentina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4"/>
    <w:lvlOverride w:ilvl="0">
      <w:startOverride w:val="1"/>
    </w:lvlOverride>
  </w:num>
  <w:num w:numId="13">
    <w:abstractNumId w:val="5"/>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40" w:after="200"/>
      <w:outlineLvl w:val="0"/>
    </w:pPr>
    <w:rPr>
      <w:rFonts w:ascii="Calibri" w:hAnsi="Calibri" w:eastAsia="Calibri" w:cs="Calibri"/>
      <w:b/>
      <w:bCs/>
      <w:color w:val="1F4E79"/>
      <w:sz w:val="34"/>
      <w:szCs w:val="34"/>
    </w:rPr>
  </w:style>
  <w:style w:type="paragraph" w:styleId="Heading2">
    <w:name w:val="Heading 2"/>
    <w:basedOn w:val="Heading"/>
    <w:qFormat/>
    <w:pPr>
      <w:spacing w:before="280" w:after="120"/>
      <w:outlineLvl w:val="1"/>
    </w:pPr>
    <w:rPr>
      <w:rFonts w:ascii="Calibri" w:hAnsi="Calibri" w:eastAsia="Calibri" w:cs="Calibri"/>
      <w:b/>
      <w:bCs/>
      <w:color w:val="2E2E2B"/>
      <w:sz w:val="27"/>
      <w:szCs w:val="27"/>
    </w:rPr>
  </w:style>
  <w:style w:type="paragraph" w:styleId="Heading3">
    <w:name w:val="Heading 3"/>
    <w:basedOn w:val="Heading"/>
    <w:qFormat/>
    <w:pPr>
      <w:spacing w:before="200" w:after="100"/>
      <w:outlineLvl w:val="2"/>
    </w:pPr>
    <w:rPr>
      <w:rFonts w:ascii="Calibri" w:hAnsi="Calibri" w:eastAsia="Calibri" w:cs="Calibri"/>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2026-10-18T03:22:03Z</dcterms:created>
  <dc:creator>TFM Máster CTI - KSchool</dc:creator>
  <dc:description/>
  <dc:language>en-US</dc:language>
  <cp:lastModifiedBy/>
  <dcterms:modified xsi:type="dcterms:W3CDTF">2026-10-18T03:22:05Z</dcterms:modified>
  <cp:revision>2</cp:revision>
  <dc:subject/>
  <dc:title>Memoria de trabajo del TFM - Monitor Ciber-Geopolítico Argentina</dc:title>
</cp:coreProperties>
</file>