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0.4 · 14/10/2026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del caso de estudio (sección 5.4) con candidatos pendientes de validación por 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 (13) y propuesta metodológica de grupo de comparación (hacktivistas vs. cibercriminales).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0.3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incidentes, columna de tipo de actor, evaluación del modelo con análisis de sensibilidad y extensión del período hasta la actualidad.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lista de candidatos (agosto 2024 – hoy): 8 hechos clave y 10 incidentes, pendientes de decisión del autor.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571_1251848270">
            <w:r>
              <w:rPr>
                <w:rStyle w:val="IndexLink"/>
              </w:rPr>
              <w:t>1. Introducción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73_1251848270">
            <w:r>
              <w:rPr>
                <w:rStyle w:val="IndexLink"/>
              </w:rPr>
              <w:t>1.1. Contexto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75_1251848270">
            <w:r>
              <w:rPr>
                <w:rStyle w:val="IndexLink"/>
              </w:rPr>
              <w:t>1.2. Objetivos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77_1251848270">
            <w:r>
              <w:rPr>
                <w:rStyle w:val="IndexLink"/>
              </w:rPr>
              <w:t>1.3. Alcance de esta memoria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579_1251848270">
            <w:r>
              <w:rPr>
                <w:rStyle w:val="IndexLink"/>
              </w:rPr>
              <w:t>2. Metodología de trabajo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81_1251848270">
            <w:r>
              <w:rPr>
                <w:rStyle w:val="IndexLink"/>
              </w:rPr>
              <w:t>2.1. Enfoque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83_1251848270">
            <w:r>
              <w:rPr>
                <w:rStyle w:val="IndexLink"/>
              </w:rPr>
              <w:t>2.2. Desarrollo asistido por inteligencia artificial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85_1251848270">
            <w:r>
              <w:rPr>
                <w:rStyle w:val="IndexLink"/>
              </w:rPr>
              <w:t>2.3. Herramientas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587_1251848270">
            <w:r>
              <w:rPr>
                <w:rStyle w:val="IndexLink"/>
              </w:rPr>
              <w:t>3. Requisitos de la plataforma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589_1251848270">
            <w:r>
              <w:rPr>
                <w:rStyle w:val="IndexLink"/>
              </w:rPr>
              <w:t>4. Arquitectura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91_1251848270">
            <w:r>
              <w:rPr>
                <w:rStyle w:val="IndexLink"/>
              </w:rPr>
              <w:t>4.1. Organización del repositorio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593_1251848270">
            <w:r>
              <w:rPr>
                <w:rStyle w:val="IndexLink"/>
              </w:rPr>
              <w:t>5. Fuentes de datos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95_1251848270">
            <w:r>
              <w:rPr>
                <w:rStyle w:val="IndexLink"/>
              </w:rPr>
              <w:t>5.1. Validación de las fuentes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97_1251848270">
            <w:r>
              <w:rPr>
                <w:rStyle w:val="IndexLink"/>
              </w:rPr>
              <w:t>5.2. GDELT: el principal desafío técnico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599_1251848270">
            <w:r>
              <w:rPr>
                <w:rStyle w:val="IndexLink"/>
              </w:rPr>
              <w:t>5.3. Archivos de carga manual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01_1251848270">
            <w:r>
              <w:rPr>
                <w:rStyle w:val="IndexLink"/>
              </w:rPr>
              <w:t>5.4. Búsqueda inicial de incidentes (pendiente de validación)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03_1251848270">
            <w:r>
              <w:rPr>
                <w:rStyle w:val="IndexLink"/>
              </w:rPr>
              <w:t>6. Clasificación por reglas (Fase 1)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05_1251848270">
            <w:r>
              <w:rPr>
                <w:rStyle w:val="IndexLink"/>
              </w:rPr>
              <w:t>6.1. Noticias geopolíticas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07_1251848270">
            <w:r>
              <w:rPr>
                <w:rStyle w:val="IndexLink"/>
              </w:rPr>
              <w:t>6.2. Noticias de ataque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09_1251848270">
            <w:r>
              <w:rPr>
                <w:rStyle w:val="IndexLink"/>
              </w:rPr>
              <w:t>6.3. Mapeo a MITRE ATT&amp;CK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11_1251848270">
            <w:r>
              <w:rPr>
                <w:rStyle w:val="IndexLink"/>
              </w:rPr>
              <w:t>7. El semáforo de alertas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13_1251848270">
            <w:r>
              <w:rPr>
                <w:rStyle w:val="IndexLink"/>
              </w:rPr>
              <w:t>7.1. Reglas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15_1251848270">
            <w:r>
              <w:rPr>
                <w:rStyle w:val="IndexLink"/>
              </w:rPr>
              <w:t>7.2. Ejemplo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17_1251848270">
            <w:r>
              <w:rPr>
                <w:rStyle w:val="IndexLink"/>
              </w:rPr>
              <w:t>7.3. Parámetros configurables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19_1251848270">
            <w:r>
              <w:rPr>
                <w:rStyle w:val="IndexLink"/>
              </w:rPr>
              <w:t>8. La página web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21_1251848270">
            <w:r>
              <w:rPr>
                <w:rStyle w:val="IndexLink"/>
              </w:rPr>
              <w:t>8.1. Componentes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23_1251848270">
            <w:r>
              <w:rPr>
                <w:rStyle w:val="IndexLink"/>
              </w:rPr>
              <w:t>9. Automatización y puesta en marcha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25_1251848270">
            <w:r>
              <w:rPr>
                <w:rStyle w:val="IndexLink"/>
              </w:rPr>
              <w:t>9.1. Workflows de GitHub Actions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27_1251848270">
            <w:r>
              <w:rPr>
                <w:rStyle w:val="IndexLink"/>
              </w:rPr>
              <w:t>9.2. Configuración realizada por el autor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29_1251848270">
            <w:r>
              <w:rPr>
                <w:rStyle w:val="IndexLink"/>
              </w:rPr>
              <w:t>9.3. Flujo de cambios con Pull Requests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31_1251848270">
            <w:r>
              <w:rPr>
                <w:rStyle w:val="IndexLink"/>
              </w:rPr>
              <w:t>10. Pruebas y verificación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33_1251848270">
            <w:r>
              <w:rPr>
                <w:rStyle w:val="IndexLink"/>
              </w:rPr>
              <w:t>10.1. Pruebas automáticas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35_1251848270">
            <w:r>
              <w:rPr>
                <w:rStyle w:val="IndexLink"/>
              </w:rPr>
              <w:t>10.2. Verificaciones con datos reales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37_1251848270">
            <w:r>
              <w:rPr>
                <w:rStyle w:val="IndexLink"/>
              </w:rPr>
              <w:t>11. Problemas encontrados y soluciones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39_1251848270">
            <w:r>
              <w:rPr>
                <w:rStyle w:val="IndexLink"/>
              </w:rPr>
              <w:t>12. Decisiones técnicas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41_1251848270">
            <w:r>
              <w:rPr>
                <w:rStyle w:val="IndexLink"/>
              </w:rPr>
              <w:t>13. Estado actual y próximos pasos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43_1251848270">
            <w:r>
              <w:rPr>
                <w:rStyle w:val="IndexLink"/>
              </w:rPr>
              <w:t>13.1. Estado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45_1251848270">
            <w:r>
              <w:rPr>
                <w:rStyle w:val="IndexLink"/>
              </w:rPr>
              <w:t>13.2. Tareas pendientes del autor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47_1251848270">
            <w:r>
              <w:rPr>
                <w:rStyle w:val="IndexLink"/>
              </w:rPr>
              <w:t>13.3. Próximos pasos propuestos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49_1251848270">
            <w:r>
              <w:rPr>
                <w:rStyle w:val="IndexLink"/>
              </w:rPr>
              <w:t>14. Búsqueda de incidentes y diseño de la evaluación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51_1251848270">
            <w:r>
              <w:rPr>
                <w:rStyle w:val="IndexLink"/>
              </w:rPr>
              <w:t>14.1. Por qué hace falta cargar incidentes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53_1251848270">
            <w:r>
              <w:rPr>
                <w:rStyle w:val="IndexLink"/>
              </w:rPr>
              <w:t>14.2. Grupo de comparación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55_1251848270">
            <w:r>
              <w:rPr>
                <w:rStyle w:val="IndexLink"/>
              </w:rPr>
              <w:t>14.3. Incidentes cargados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57_1251848270">
            <w:r>
              <w:rPr>
                <w:rStyle w:val="IndexLink"/>
              </w:rPr>
              <w:t>14.4. Primeras observaciones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59_1251848270">
            <w:r>
              <w:rPr>
                <w:rStyle w:val="IndexLink"/>
              </w:rPr>
              <w:t>14.5. Segunda lista de candidatos (agosto 2024 – hoy)</w:t>
              <w:tab/>
              <w:t>25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61_1251848270">
            <w:r>
              <w:rPr>
                <w:rStyle w:val="IndexLink"/>
              </w:rPr>
              <w:t>15. Evaluación del modelo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63_1251848270">
            <w:r>
              <w:rPr>
                <w:rStyle w:val="IndexLink"/>
              </w:rPr>
              <w:t>15.1. Método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65_1251848270">
            <w:r>
              <w:rPr>
                <w:rStyle w:val="IndexLink"/>
              </w:rPr>
              <w:t>15.2. Resultados preliminares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67_1251848270">
            <w:r>
              <w:rPr>
                <w:rStyle w:val="IndexLink"/>
              </w:rPr>
              <w:t>15.3. Lectura de los resultados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669_1251848270">
            <w:r>
              <w:rPr>
                <w:rStyle w:val="IndexLink"/>
              </w:rPr>
              <w:t>15.4. Extensión del período hasta la actualidad</w:t>
              <w:tab/>
              <w:t>28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71_1251848270">
            <w:r>
              <w:rPr>
                <w:rStyle w:val="IndexLink"/>
              </w:rPr>
              <w:t>Anexo A. Bitácora del proyecto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673_1251848270">
            <w:r>
              <w:rPr>
                <w:rStyle w:val="IndexLink"/>
              </w:rPr>
              <w:t>Anexo B. Glosario</w:t>
              <w:tab/>
              <w:t>33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2571_1251848270"/>
      <w:bookmarkEnd w:id="0"/>
      <w:r>
        <w:rPr/>
        <w:t>1. Introducción</w:t>
      </w:r>
    </w:p>
    <w:p>
      <w:pPr>
        <w:pStyle w:val="Heading2"/>
        <w:rPr/>
      </w:pPr>
      <w:bookmarkStart w:id="1" w:name="__RefHeading___Toc2573_1251848270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2575_1251848270"/>
      <w:bookmarkEnd w:id="2"/>
      <w:r>
        <w:rPr/>
        <w:t>1.2. Objetivos</w:t>
      </w:r>
    </w:p>
    <w:p>
      <w:pPr>
        <w:pStyle w:val="ListParagraph"/>
        <w:numPr>
          <w:ilvl w:val="0"/>
          <w:numId w:val="8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2577_1251848270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2579_1251848270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2581_1251848270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2583_1251848270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2585_1251848270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2587_1251848270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2589_1251848270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2591_1251848270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2593_1251848270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2595_1251848270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2597_1251848270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2599_1251848270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2"/>
        <w:rPr/>
      </w:pPr>
      <w:bookmarkStart w:id="15" w:name="__RefHeading___Toc2601_1251848270"/>
      <w:bookmarkEnd w:id="15"/>
      <w:r>
        <w:rPr/>
        <w:t>5.4. Búsqueda inicial de incidentes (pendiente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El 13/10/2026 se realizó una búsqueda inicial en fuentes abiertas para identificar ataques del período de estudio. Se consultaron medios argentinos, sitios especializados en inteligencia de amenazas e informes de empresas de seguridad (Radware, Check Point, Group-IB, entre otros). Los resultados son </w:t>
      </w:r>
      <w:r>
        <w:rPr>
          <w:b/>
          <w:bCs/>
        </w:rPr>
        <w:t>candidatos</w:t>
      </w:r>
      <w:r>
        <w:rPr/>
        <w:t>: ninguno se cargó en el archivo de incidentes hasta que el autor los valide.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401"/>
        <w:gridCol w:w="2200"/>
        <w:gridCol w:w="2099"/>
        <w:gridCol w:w="243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 / tipo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Fuentes encontradas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(día sin precisar)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 · defacement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a mefiltraron.com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Señalado como el primer ataque al país vinculado al conflicto Israel–Palestina. Fuente secundaria: falta la fecha exacta.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22 feb 2024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· filtración de datos (reivindicada)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Zona Militar (22/02/2024), CyberShafarat, C5N, AGC News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del grupo, sin confirmación oficial. Motivación declarada: apoyo de Milei a Israel. Ocurre 16 días después de la visita a Israel.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 (fecha a confirmar)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Cuentas de la AMIA y credenciales de milei.com.ar · filtración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un aviso de Birmingham Cyber Arms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 hostil a Milei por su vínculo con Israel. Falta la fecha.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5 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de noticias y Ministerio de Salud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Daily Dark Web en X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«en apoyo a Palestina». Posterior al aniversario de la AMIA.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Servidor de la Fuerza Aérea Argentina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Daily Dark Web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Reivindicación, motivación declarada: Gaza.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Descartados por no corresponder al caso:</w:t>
      </w:r>
      <w:r>
        <w:rPr/>
        <w:t xml:space="preserve"> el hackeo de argentina.gob.ar y Mi Argentina (diciembre de 2024, sin motivación pro-Palestina), los ataques del individuo «gov.eth» (2024–2025) y el ataque de Chronus Team (2026).</w:t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Observaciones metodológicas: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cobertura en prensa es escasa: la mayoría de los datos proviene de </w:t>
      </w:r>
      <w:r>
        <w:rPr>
          <w:b/>
          <w:bCs/>
        </w:rPr>
        <w:t>reivindicaciones</w:t>
      </w:r>
      <w:r>
        <w:rPr/>
        <w:t xml:space="preserve"> de los propios grupos difundidas por sitios de monitoreo de la dark web. Por eso son importantes las columnas </w:t>
      </w:r>
      <w:r>
        <w:rPr>
          <w:rFonts w:eastAsia="Consolas" w:cs="Consolas" w:ascii="Consolas" w:hAnsi="Consolas"/>
          <w:sz w:val="19"/>
          <w:szCs w:val="19"/>
        </w:rPr>
        <w:t>confianza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verificado</w:t>
      </w:r>
      <w:r>
        <w:rPr/>
        <w:t>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de LulzSec Muslims de febrero de 2024 queda </w:t>
      </w:r>
      <w:r>
        <w:rPr>
          <w:b/>
          <w:bCs/>
        </w:rPr>
        <w:t>16 días</w:t>
      </w:r>
      <w:r>
        <w:rPr/>
        <w:t xml:space="preserve"> después del hecho detonante: con la ventana de 7 días aparecería como alerta informativa, y con una ventana de 14 o 21 días, como roja. Esto refuerza la necesidad del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Varias reivindicaciones se concentran en agosto de 2024, justo después del cierre del período. Conviene evaluar si se extiende el período del caso de estudio.</w:t>
      </w:r>
      <w:r>
        <w:br w:type="page"/>
      </w:r>
    </w:p>
    <w:p>
      <w:pPr>
        <w:pStyle w:val="Heading1"/>
        <w:rPr/>
      </w:pPr>
      <w:bookmarkStart w:id="16" w:name="__RefHeading___Toc2603_1251848270"/>
      <w:bookmarkEnd w:id="16"/>
      <w:r>
        <w:rPr/>
        <w:t>6. Clasificación por reglas (Fase 1)</w:t>
      </w:r>
    </w:p>
    <w:p>
      <w:pPr>
        <w:pStyle w:val="Heading2"/>
        <w:rPr/>
      </w:pPr>
      <w:bookmarkStart w:id="17" w:name="__RefHeading___Toc2605_1251848270"/>
      <w:bookmarkEnd w:id="17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8" w:name="__RefHeading___Toc2607_1251848270"/>
      <w:bookmarkEnd w:id="18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9" w:name="__RefHeading___Toc2609_1251848270"/>
      <w:bookmarkEnd w:id="19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20" w:name="__RefHeading___Toc2611_1251848270"/>
      <w:bookmarkEnd w:id="20"/>
      <w:r>
        <w:rPr/>
        <w:t>7. El semáforo de alertas</w:t>
      </w:r>
    </w:p>
    <w:p>
      <w:pPr>
        <w:pStyle w:val="Heading2"/>
        <w:rPr/>
      </w:pPr>
      <w:bookmarkStart w:id="21" w:name="__RefHeading___Toc2613_1251848270"/>
      <w:bookmarkEnd w:id="21"/>
      <w:r>
        <w:rPr/>
        <w:t>7.1. Reglas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2" w:name="__RefHeading___Toc2615_1251848270"/>
      <w:bookmarkEnd w:id="22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3" w:name="__RefHeading___Toc2617_1251848270"/>
      <w:bookmarkEnd w:id="23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4" w:name="__RefHeading___Toc2619_1251848270"/>
      <w:bookmarkEnd w:id="24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5" w:name="__RefHeading___Toc2621_1251848270"/>
      <w:bookmarkEnd w:id="25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dos botones cargan el caso de estudio (ago 2023 – jul 2024) y el período completo (ago 2023 – hoy).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tabla por tipo de actor y tamaño de ventana (capítulo 15).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6" w:name="__RefHeading___Toc2623_1251848270"/>
      <w:bookmarkEnd w:id="26"/>
      <w:r>
        <w:rPr/>
        <w:t>9. Automatización y puesta en marcha</w:t>
      </w:r>
    </w:p>
    <w:p>
      <w:pPr>
        <w:pStyle w:val="Heading2"/>
        <w:rPr/>
      </w:pPr>
      <w:bookmarkStart w:id="27" w:name="__RefHeading___Toc2625_1251848270"/>
      <w:bookmarkEnd w:id="27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8" w:name="__RefHeading___Toc2627_1251848270"/>
      <w:bookmarkEnd w:id="28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9" w:name="__RefHeading___Toc2629_1251848270"/>
      <w:bookmarkEnd w:id="29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30" w:name="__RefHeading___Toc2631_1251848270"/>
      <w:bookmarkEnd w:id="30"/>
      <w:r>
        <w:rPr/>
        <w:t>10. Pruebas y verificación</w:t>
      </w:r>
    </w:p>
    <w:p>
      <w:pPr>
        <w:pStyle w:val="Heading2"/>
        <w:rPr/>
      </w:pPr>
      <w:bookmarkStart w:id="31" w:name="__RefHeading___Toc2633_1251848270"/>
      <w:bookmarkEnd w:id="31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15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Cálculo de cobertura, razón y anticipación por tipo de actor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entran al cálculo ni a la línea de tiempo</w:t>
            </w:r>
          </w:p>
        </w:tc>
      </w:tr>
    </w:tbl>
    <w:p>
      <w:pPr>
        <w:pStyle w:val="Heading2"/>
        <w:rPr/>
      </w:pPr>
      <w:bookmarkStart w:id="32" w:name="__RefHeading___Toc2635_1251848270"/>
      <w:bookmarkEnd w:id="32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2637_1251848270"/>
      <w:bookmarkEnd w:id="33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2639_1251848270"/>
      <w:bookmarkEnd w:id="34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por tipo de actor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Evitar sesgo de confirmación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 fuera del cálculo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distorsionar la evaluación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Período extendido hasta la actualidad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Incluir la ola de ataques de agosto de 2024</w:t>
            </w:r>
          </w:p>
        </w:tc>
      </w:tr>
    </w:tbl>
    <w:p>
      <w:pPr>
        <w:pStyle w:val="Heading1"/>
        <w:rPr/>
      </w:pPr>
      <w:r>
        <w:br w:type="page"/>
      </w:r>
      <w:bookmarkStart w:id="35" w:name="__RefHeading___Toc2641_1251848270"/>
      <w:bookmarkEnd w:id="35"/>
      <w:r>
        <w:rPr/>
        <w:t>13. Estado actual y próximos pasos</w:t>
      </w:r>
    </w:p>
    <w:p>
      <w:pPr>
        <w:pStyle w:val="Heading2"/>
        <w:rPr/>
      </w:pPr>
      <w:bookmarkStart w:id="36" w:name="__RefHeading___Toc2643_1251848270"/>
      <w:bookmarkEnd w:id="36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7" w:name="__RefHeading___Toc2645_1251848270"/>
      <w:bookmarkEnd w:id="37"/>
      <w:r>
        <w:rPr/>
        <w:t>13.2. Tareas pendientes del autor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: </w:t>
      </w:r>
      <w:r>
        <w:rPr>
          <w:b/>
          <w:bCs/>
        </w:rPr>
        <w:t>hecho el 14/10/2026</w:t>
      </w:r>
      <w:r>
        <w:rPr/>
        <w:t xml:space="preserve"> (13 incidentes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). Queda ampliarlo para el período extendido.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13 incidentes cargados</w:t>
      </w:r>
      <w:r>
        <w:rPr/>
        <w:t xml:space="preserve"> (capítulo 14) y averiguar las fechas de REM y Stucx Team.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Agregar hechos clave e incidentes posteriores a julio de 2024, ya que el período se extendió hasta la actualidad.</w:t>
      </w:r>
    </w:p>
    <w:p>
      <w:pPr>
        <w:pStyle w:val="Heading2"/>
        <w:rPr/>
      </w:pPr>
      <w:bookmarkStart w:id="38" w:name="__RefHeading___Toc2647_1251848270"/>
      <w:bookmarkEnd w:id="38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9" w:name="__RefHeading___Toc2649_1251848270"/>
      <w:bookmarkEnd w:id="39"/>
      <w:r>
        <w:rPr/>
        <w:t>14. Búsqueda de incidentes y diseño de la evaluación</w:t>
      </w:r>
    </w:p>
    <w:p>
      <w:pPr>
        <w:pStyle w:val="Heading2"/>
        <w:rPr/>
      </w:pPr>
      <w:bookmarkStart w:id="40" w:name="__RefHeading___Toc2651_1251848270"/>
      <w:bookmarkEnd w:id="40"/>
      <w:r>
        <w:rPr/>
        <w:t>14.1. Por qué hace falta cargar incidentes</w:t>
      </w:r>
    </w:p>
    <w:p>
      <w:pPr>
        <w:pStyle w:val="Normal"/>
        <w:spacing w:lineRule="exact" w:line="290" w:before="0" w:after="120"/>
        <w:rPr/>
      </w:pPr>
      <w:r>
        <w:rPr/>
        <w:t>Los feeds RSS no guardan noticias antiguas y la consulta ciber de GDELT devuelve muy pocos resultados. Además, los grupos hacktivistas anuncian sus ataques sobre todo en Telegram y X. Por eso, sin una carga manual de incidentes, el modo histórico solo muestra alertas amarillas (detonantes) y no puede evaluar si a los hechos geopolíticos les siguieron ataques.</w:t>
      </w:r>
    </w:p>
    <w:p>
      <w:pPr>
        <w:pStyle w:val="Heading2"/>
        <w:rPr/>
      </w:pPr>
      <w:bookmarkStart w:id="41" w:name="__RefHeading___Toc2653_1251848270"/>
      <w:bookmarkEnd w:id="41"/>
      <w:r>
        <w:rPr/>
        <w:t>14.2. Grupo de comparación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la búsqueda incluyó ataques contra el Estado argentino </w:t>
      </w:r>
      <w:r>
        <w:rPr>
          <w:b/>
          <w:bCs/>
        </w:rPr>
        <w:t>vinculados o no</w:t>
      </w:r>
      <w:r>
        <w:rPr/>
        <w:t xml:space="preserve"> a conflictos geopolíticos. Esto no le quita sentido al análisis de contexto; lo fortalece: los ataques sin motivación geopolítica (por ejemplo, ransomware con fines económicos) funcionan como </w:t>
      </w:r>
      <w:r>
        <w:rPr>
          <w:b/>
          <w:bCs/>
        </w:rPr>
        <w:t>grupo de comparación</w:t>
      </w:r>
      <w:r>
        <w:rPr/>
        <w:t>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Pregunta de evaluación:</w:t>
      </w:r>
      <w:r>
        <w:rPr/>
        <w:t xml:space="preserve"> ¿los ataques </w:t>
      </w:r>
      <w:r>
        <w:rPr>
          <w:b/>
          <w:bCs/>
        </w:rPr>
        <w:t>hacktivistas</w:t>
      </w:r>
      <w:r>
        <w:rPr/>
        <w:t xml:space="preserve"> caen dentro de las ventanas de vigilancia con más frecuencia que los ataques </w:t>
      </w:r>
      <w:r>
        <w:rPr>
          <w:b/>
          <w:bCs/>
        </w:rPr>
        <w:t>cibercriminales</w:t>
      </w:r>
      <w:r>
        <w:rPr/>
        <w:t>? Si es así, el contexto geopolítico anticipa el hacktivismo. Si ambos caen por igual, el semáforo solo reflejaría que hay ataques todo el tiempo.</w:t>
      </w:r>
    </w:p>
    <w:p>
      <w:pPr>
        <w:pStyle w:val="Normal"/>
        <w:spacing w:lineRule="exact" w:line="290" w:before="0" w:after="120"/>
        <w:rPr/>
      </w:pPr>
      <w:r>
        <w:rPr/>
        <w:t xml:space="preserve">Para ello se propone etiquetar cada incidente con su </w:t>
      </w:r>
      <w:r>
        <w:rPr>
          <w:b/>
          <w:bCs/>
        </w:rPr>
        <w:t>tipo de actor</w:t>
      </w:r>
      <w:r>
        <w:rPr/>
        <w:t xml:space="preserve"> (hacktivista, cibercriminal, estatal o desconocido).</w:t>
      </w:r>
    </w:p>
    <w:p>
      <w:pPr>
        <w:pStyle w:val="Heading2"/>
        <w:rPr/>
      </w:pPr>
      <w:bookmarkStart w:id="42" w:name="__RefHeading___Toc2655_1251848270"/>
      <w:bookmarkEnd w:id="42"/>
      <w:r>
        <w:rPr/>
        <w:t>14.3. Incidentes cargados</w:t>
      </w:r>
    </w:p>
    <w:p>
      <w:pPr>
        <w:pStyle w:val="Normal"/>
        <w:spacing w:lineRule="exact" w:line="290" w:before="0" w:after="120"/>
        <w:rPr/>
      </w:pPr>
      <w:r>
        <w:rPr/>
        <w:t>La búsqueda inicial (14/10/2026) identificó 13 candidatos (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). El autor decidió </w:t>
      </w:r>
      <w:r>
        <w:rPr>
          <w:b/>
          <w:bCs/>
        </w:rPr>
        <w:t>cargarlos todos</w:t>
      </w:r>
      <w:r>
        <w:rPr/>
        <w:t xml:space="preserve">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, marcados como </w:t>
      </w:r>
      <w:r>
        <w:rPr>
          <w:b/>
          <w:bCs/>
        </w:rPr>
        <w:t>no verificados</w:t>
      </w:r>
      <w:r>
        <w:rPr/>
        <w:t xml:space="preserve">. Varias fuentes son secundarias o recogen reivindicaciones de los propios grupos, por lo que la verificación sigue pendiente. Los dos incidentes </w:t>
      </w:r>
      <w:r>
        <w:rPr>
          <w:b/>
          <w:bCs/>
        </w:rPr>
        <w:t>sin fecha conocida</w:t>
      </w:r>
      <w:r>
        <w:rPr/>
        <w:t xml:space="preserve"> (REM y Stucx Team) se muestran en la página, pero no entran al cálculo.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(Comando Conjunto de Ciberdefensa)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AMIA y milei.com.ar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y un medio de noticias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otro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argentino (datos de Fuerzas Armadas y policía)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 Aérea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2023-08-02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Rhysida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PAMI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2023-10-19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oficial argentina.gob.ar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Río Negro - Hospital de Ingeniero Huergo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2024-04-09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RENAPER (fotos de ciudadanos)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Nacional de Seguridad Vial (licencias de conducir)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2024-06-27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Tierra del Fuego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Stucx Team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Sitios argentinos (campaña masiva)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3" w:name="__RefHeading___Toc2657_1251848270"/>
      <w:bookmarkEnd w:id="43"/>
      <w:r>
        <w:rPr/>
        <w:t>14.4. Primeras observaciones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reivindicación de </w:t>
      </w:r>
      <w:r>
        <w:rPr>
          <w:b/>
          <w:bCs/>
        </w:rPr>
        <w:t>LulzSec Muslims</w:t>
      </w:r>
      <w:r>
        <w:rPr/>
        <w:t xml:space="preserve"> contra datos de las Fuerzas Armadas (aprox. 22/02/2024) ocurre </w:t>
      </w:r>
      <w:r>
        <w:rPr>
          <w:b/>
          <w:bCs/>
        </w:rPr>
        <w:t>16 días</w:t>
      </w:r>
      <w:r>
        <w:rPr/>
        <w:t xml:space="preserve"> después de la visita a Israel (06/02/2024): queda </w:t>
      </w:r>
      <w:r>
        <w:rPr>
          <w:b/>
          <w:bCs/>
        </w:rPr>
        <w:t>fuera</w:t>
      </w:r>
      <w:r>
        <w:rPr/>
        <w:t xml:space="preserve"> de una ventana de 7 días, pero </w:t>
      </w:r>
      <w:r>
        <w:rPr>
          <w:b/>
          <w:bCs/>
        </w:rPr>
        <w:t>dentro</w:t>
      </w:r>
      <w:r>
        <w:rPr/>
        <w:t xml:space="preserve"> de una de 14 o 21. Es un caso útil para 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ataques de LulzSec Muslims se concentran en </w:t>
      </w:r>
      <w:r>
        <w:rPr>
          <w:b/>
          <w:bCs/>
        </w:rPr>
        <w:t>agosto de 2024</w:t>
      </w:r>
      <w:r>
        <w:rPr/>
        <w:t>, poco después de la declaración de Hamás como organización terrorista (12/07/2024) y del 30.º aniversario de la AMIA (18/07/2024). Conviene evaluar si se extiende el período de estudio hasta agosto de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al Gobierno de Río Negro (05/02/2024) ocurre un día antes de la visita a Israel, sin relación aparente: ejemplo de </w:t>
      </w:r>
      <w:r>
        <w:rPr>
          <w:b/>
          <w:bCs/>
        </w:rPr>
        <w:t>coincidencia temporal sin causalidad</w:t>
      </w:r>
      <w:r>
        <w:rPr/>
        <w:t>, importante para la discusión de resultados.</w:t>
      </w:r>
    </w:p>
    <w:p>
      <w:pPr>
        <w:pStyle w:val="Heading2"/>
        <w:rPr/>
      </w:pPr>
      <w:bookmarkStart w:id="44" w:name="__RefHeading___Toc2659_1251848270"/>
      <w:bookmarkEnd w:id="44"/>
      <w:r>
        <w:rPr/>
        <w:t>14.5. Segunda lista de candidatos (agosto 2024 – hoy)</w:t>
      </w:r>
    </w:p>
    <w:p>
      <w:pPr>
        <w:pStyle w:val="Normal"/>
        <w:spacing w:lineRule="exact" w:line="290" w:before="0" w:after="120"/>
        <w:rPr/>
      </w:pPr>
      <w:r>
        <w:rPr/>
        <w:t xml:space="preserve">Al extender el período hasta la actualidad, se realizó una segunda búsqueda. Se identificaron </w:t>
      </w:r>
      <w:r>
        <w:rPr>
          <w:b/>
          <w:bCs/>
        </w:rPr>
        <w:t>8 hechos clave</w:t>
      </w:r>
      <w:r>
        <w:rPr/>
        <w:t xml:space="preserve"> y </w:t>
      </w:r>
      <w:r>
        <w:rPr>
          <w:b/>
          <w:bCs/>
        </w:rPr>
        <w:t>10 incidentes</w:t>
      </w:r>
      <w:r>
        <w:rPr/>
        <w:t xml:space="preserve"> candidatos, pendientes de decisión del autor (</w:t>
      </w:r>
      <w:r>
        <w:rPr>
          <w:rFonts w:eastAsia="Consolas" w:cs="Consolas" w:ascii="Consolas" w:hAnsi="Consolas"/>
          <w:sz w:val="19"/>
          <w:szCs w:val="19"/>
        </w:rPr>
        <w:t>datos/candidatos_hechos_clave.csv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>).</w:t>
      </w:r>
    </w:p>
    <w:p>
      <w:pPr>
        <w:pStyle w:val="Heading3"/>
        <w:rPr/>
      </w:pPr>
      <w:r>
        <w:rPr/>
        <w:t>Hechos clave candidatos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0"/>
        <w:gridCol w:w="7037"/>
        <w:gridCol w:w="1301"/>
      </w:tblGrid>
      <w:tr>
        <w:trPr>
          <w:tblHeader w:val="true"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Hecho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2025-06-11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visita de Milei a Israel: anuncia el traslado de la embajada para 2026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2025-06-22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respalda el ataque de EE. UU. a instalaciones nucleares de Irán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2026-01-17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anuncia su ingreso como miembro fundador del Board of Peace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2026-02-19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Milei participa de la reunión inaugural del Board of Peace y ofrece ayuda para Gaza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2026-02-28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Comienza la guerra de EE. UU. e Israel contra Irán; Argentina la respalda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2026-03-18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Milei arremete contra Irán en el aniversario del atentado a la embajada de Israel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2026-04-02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expulsa al encargado de negocios de Irán tras declarar terrorista a la Guardia Revolucionaria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2026-04-19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Tercera visita de Milei a Israel en plena guerra con Irán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Incidentes candidatos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2024-10-04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RansomHub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Municipio de Tigre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2024-11-27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Money Message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Comisión Nacional de Energía Atómica (CNEA)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2024-11-29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LockBit 3.0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Tributaria de Formosa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2024-12-25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gov.eth y h4xx0r1337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argentina.gob.ar, Mi Argentina y SUBE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2025-05-08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(datos de unos 50.000 efectivos)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2025-10-12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Nova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Campaña hacktivista (sin nombre público)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Cancillería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2026-03-04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Gentlemen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IBR-CONICET (Rosario)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2026-07-15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Hackers de origen egipcio (sin nombre)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AFA (AFA Medios)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2026-09-18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n0n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Educación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</w:t>
      </w:r>
      <w:r>
        <w:rPr>
          <w:b/>
          <w:bCs/>
        </w:rPr>
        <w:t>intento de DDoS contra la Cancillería (05/02/2026)</w:t>
      </w:r>
      <w:r>
        <w:rPr/>
        <w:t xml:space="preserve"> es el caso más claro de la segunda lista: la propia SIDE lo atribuyó a una campaña hacktivista contra los países del Board of Peace, y ocurre </w:t>
      </w:r>
      <w:r>
        <w:rPr>
          <w:b/>
          <w:bCs/>
        </w:rPr>
        <w:t>19 días</w:t>
      </w:r>
      <w:r>
        <w:rPr/>
        <w:t xml:space="preserve"> después del anuncio de ingreso de Argentina (17/01/2026). Vuelve a quedar fuera de una ventana de 7 días y dentro de una de 21.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incidentes de la segunda lista son </w:t>
      </w:r>
      <w:r>
        <w:rPr>
          <w:b/>
          <w:bCs/>
        </w:rPr>
        <w:t>reivindicaciones de grupos de ransomware</w:t>
      </w:r>
      <w:r>
        <w:rPr/>
        <w:t xml:space="preserve"> recogidas por agregadores (ransomware.live, SOCRadar), sin confirmación oficial: deben tratarse con confianza baja.</w:t>
      </w:r>
      <w:r>
        <w:br w:type="page"/>
      </w:r>
    </w:p>
    <w:p>
      <w:pPr>
        <w:pStyle w:val="Heading1"/>
        <w:rPr/>
      </w:pPr>
      <w:bookmarkStart w:id="45" w:name="__RefHeading___Toc2661_1251848270"/>
      <w:bookmarkEnd w:id="45"/>
      <w:r>
        <w:rPr/>
        <w:t>15. Evaluación del modelo</w:t>
      </w:r>
    </w:p>
    <w:p>
      <w:pPr>
        <w:pStyle w:val="Heading2"/>
        <w:rPr/>
      </w:pPr>
      <w:bookmarkStart w:id="46" w:name="__RefHeading___Toc2663_1251848270"/>
      <w:bookmarkEnd w:id="46"/>
      <w:r>
        <w:rPr/>
        <w:t>15.1. Método</w:t>
      </w:r>
    </w:p>
    <w:p>
      <w:pPr>
        <w:pStyle w:val="Normal"/>
        <w:spacing w:lineRule="exact" w:line="290" w:before="0" w:after="120"/>
        <w:rPr/>
      </w:pPr>
      <w:r>
        <w:rPr/>
        <w:t xml:space="preserve">Para cada tamaño de ventana y cada tipo de actor se calcula cuántos ataques ocurrieron </w:t>
      </w:r>
      <w:r>
        <w:rPr>
          <w:b/>
          <w:bCs/>
        </w:rPr>
        <w:t>dentro</w:t>
      </w:r>
      <w:r>
        <w:rPr/>
        <w:t xml:space="preserve"> de una ventana de vigilancia. Ese porcentaje se compara con la </w:t>
      </w:r>
      <w:r>
        <w:rPr>
          <w:b/>
          <w:bCs/>
        </w:rPr>
        <w:t>cobertura</w:t>
      </w:r>
      <w:r>
        <w:rPr/>
        <w:t xml:space="preserve">, es decir, el porcentaje de días del período cubiertos por ventanas: es lo que se esperaría si los ataques ocurrieran al azar. La </w:t>
      </w:r>
      <w:r>
        <w:rPr>
          <w:b/>
          <w:bCs/>
        </w:rPr>
        <w:t>razón</w:t>
      </w:r>
      <w:r>
        <w:rPr/>
        <w:t xml:space="preserve"> entre ambos resume el resultado: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mayor que 1:</w:t>
      </w:r>
      <w:r>
        <w:rPr/>
        <w:t xml:space="preserve"> ese tipo de actor ataca dentro de las ventanas más de lo esperable por azar (evidencia a favor de la hipótesis).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cercana a 1:</w:t>
      </w:r>
      <w:r>
        <w:rPr/>
        <w:t xml:space="preserve"> no hay relación con los hechos detonantes. Es lo esperado para el grupo de comparación (cibercriminales).</w:t>
      </w:r>
    </w:p>
    <w:p>
      <w:pPr>
        <w:pStyle w:val="Normal"/>
        <w:spacing w:lineRule="exact" w:line="290" w:before="0" w:after="120"/>
        <w:rPr/>
      </w:pPr>
      <w:r>
        <w:rPr/>
        <w:t>Se evalúan ventanas de 3, 7, 14 y 21 días (</w:t>
      </w:r>
      <w:r>
        <w:rPr>
          <w:b/>
          <w:bCs/>
        </w:rPr>
        <w:t>análisis de sensibilidad</w:t>
      </w:r>
      <w:r>
        <w:rPr/>
        <w:t>). La de 7 días es la que usa el semáforo.</w:t>
      </w:r>
    </w:p>
    <w:p>
      <w:pPr>
        <w:pStyle w:val="Heading2"/>
        <w:rPr/>
      </w:pPr>
      <w:bookmarkStart w:id="47" w:name="__RefHeading___Toc2665_1251848270"/>
      <w:bookmarkEnd w:id="47"/>
      <w:r>
        <w:rPr/>
        <w:t>15.2. Resultados preliminares</w:t>
      </w:r>
    </w:p>
    <w:p>
      <w:pPr>
        <w:pStyle w:val="Normal"/>
        <w:spacing w:lineRule="exact" w:line="290" w:before="0" w:after="120"/>
        <w:rPr/>
      </w:pPr>
      <w:r>
        <w:rPr/>
        <w:t>Período evaluado: 2023-08-01 a 2026-10-14 (1171 días, 32 días detonantes). Datos al 2026-10-14.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501"/>
        <w:gridCol w:w="2299"/>
        <w:gridCol w:w="2170"/>
        <w:gridCol w:w="216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Ventana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Hacktivista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Cibercriminal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Desconocido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6.9 %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0/5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4.82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4.82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10.1 %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0/5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3.31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3.31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14.8 %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1.35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2.26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2.26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21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18.1 %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3/5 (60 %)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3.31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1.84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1/3 (33.3 %)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1.84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33700"/>
            <wp:effectExtent l="0" t="0" r="0" b="0"/>
            <wp:docPr id="11" name="web_evaluacion.png" descr="Figura 11&#10;Sección «Evaluación del modelo» en la página, con los incidentes sin fecha al p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b_evaluacion.png" descr="Figura 11&#10;Sección «Evaluación del modelo» en la página, con los incidentes sin fecha al pie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11. </w:t>
      </w:r>
      <w:r>
        <w:rPr>
          <w:i/>
          <w:iCs/>
          <w:color w:val="52514E"/>
          <w:sz w:val="18"/>
          <w:szCs w:val="18"/>
        </w:rPr>
        <w:t>Sección «Evaluación del modelo» en la página, con los incidentes sin fecha al pie.</w:t>
      </w:r>
    </w:p>
    <w:p>
      <w:pPr>
        <w:pStyle w:val="Heading2"/>
        <w:rPr/>
      </w:pPr>
      <w:bookmarkStart w:id="48" w:name="__RefHeading___Toc2667_1251848270"/>
      <w:bookmarkEnd w:id="48"/>
      <w:r>
        <w:rPr/>
        <w:t>15.3. Lectura de los resultados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Con la ventana de </w:t>
      </w:r>
      <w:r>
        <w:rPr>
          <w:b/>
          <w:bCs/>
        </w:rPr>
        <w:t>7 días</w:t>
      </w:r>
      <w:r>
        <w:rPr/>
        <w:t xml:space="preserve"> ningún ataque hacktivista cae dentro; con </w:t>
      </w:r>
      <w:r>
        <w:rPr>
          <w:b/>
          <w:bCs/>
        </w:rPr>
        <w:t>21 días</w:t>
      </w:r>
      <w:r>
        <w:rPr/>
        <w:t xml:space="preserve">, 3 de 5 (razón superior a 3). Esto sugiere que, si existe relación, el hacktivismo </w:t>
      </w:r>
      <w:r>
        <w:rPr>
          <w:b/>
          <w:bCs/>
        </w:rPr>
        <w:t>no reacciona en una semana</w:t>
      </w:r>
      <w:r>
        <w:rPr/>
        <w:t>, sino en dos o tres. Es una hipótesis a confirmar con más datos.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defacement de argentina.gob.ar (19/10/2023), de motivación política interna, cae dentro de la ventana abierta tras el 7 de octubre de 2023 y pone el semáforo en rojo: es un </w:t>
      </w:r>
      <w:r>
        <w:rPr>
          <w:b/>
          <w:bCs/>
        </w:rPr>
        <w:t>falso positivo</w:t>
      </w:r>
      <w:r>
        <w:rPr/>
        <w:t xml:space="preserve"> que muestra el límite de un modelo basado solo en fechas.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Advertencia:</w:t>
      </w:r>
      <w:r>
        <w:rPr/>
        <w:t xml:space="preserve"> son muy pocos incidentes y casi todos sin verificar. Estos números ilustran el </w:t>
      </w:r>
      <w:r>
        <w:rPr>
          <w:b/>
          <w:bCs/>
        </w:rPr>
        <w:t>método</w:t>
      </w:r>
      <w:r>
        <w:rPr/>
        <w:t>; no permiten conclusiones. Al completarse el histórico de GDELT y verificarse los incidentes, la tabla se recalcula sola.</w:t>
      </w:r>
    </w:p>
    <w:p>
      <w:pPr>
        <w:pStyle w:val="Heading2"/>
        <w:rPr/>
      </w:pPr>
      <w:bookmarkStart w:id="49" w:name="__RefHeading___Toc2669_1251848270"/>
      <w:bookmarkEnd w:id="49"/>
      <w:r>
        <w:rPr/>
        <w:t>15.4. Extensión del período hasta la actualidad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el período histórico se extendió a </w:t>
      </w:r>
      <w:r>
        <w:rPr>
          <w:b/>
          <w:bCs/>
        </w:rPr>
        <w:t>01/08/2023 – 11/10/2026</w:t>
      </w:r>
      <w:r>
        <w:rPr/>
        <w:t xml:space="preserve"> (el día anterior al inicio del monitoreo en vivo). El caso de estudio original se mantiene como período predefinido en la página. La descarga de GDELT conserva lo ya obtenido y pasa de 196 a 623 tramos, por lo que tardará varios días más en completarse.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12" name="web_periodo_completo.png" descr="Figura 12&#10;Vista del período completo (agosto 2023 – hoy) con los incidentes cargados y la descarga de GDELT todavía en cur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eb_periodo_completo.png" descr="Figura 12&#10;Vista del período completo (agosto 2023 – hoy) con los incidentes cargados y la descarga de GDELT todavía en curs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12. </w:t>
      </w:r>
      <w:r>
        <w:rPr>
          <w:i/>
          <w:iCs/>
          <w:color w:val="52514E"/>
          <w:sz w:val="18"/>
          <w:szCs w:val="18"/>
        </w:rPr>
        <w:t>Vista del período completo (agosto 2023 – hoy) con los incidentes cargados y la descarga de GDELT todavía en curso.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704975"/>
            <wp:effectExtent l="0" t="0" r="0" b="0"/>
            <wp:docPr id="13" name="web_linea_caso.png" descr="Figura 13&#10;Línea de tiempo del caso de estudio (ago 2023 – jul 2024): ventanas amarillas, períodos en rojo e incidentes cargados (romb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eb_linea_caso.png" descr="Figura 13&#10;Línea de tiempo del caso de estudio (ago 2023 – jul 2024): ventanas amarillas, períodos en rojo e incidentes cargados (rombo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13. </w:t>
      </w:r>
      <w:r>
        <w:rPr>
          <w:i/>
          <w:iCs/>
          <w:color w:val="52514E"/>
          <w:sz w:val="18"/>
          <w:szCs w:val="18"/>
        </w:rPr>
        <w:t>Línea de tiempo del caso de estudio (ago 2023 – jul 2024): ventanas amarillas, períodos en rojo e incidentes cargados (rombos).</w:t>
      </w:r>
      <w:r>
        <w:br w:type="page"/>
      </w:r>
    </w:p>
    <w:p>
      <w:pPr>
        <w:pStyle w:val="Heading1"/>
        <w:rPr/>
      </w:pPr>
      <w:bookmarkStart w:id="50" w:name="__RefHeading___Toc2671_1251848270"/>
      <w:bookmarkEnd w:id="50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conocidos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web en fuentes abiertas (medios argentinos, sitios de inteligencia de amenazas, informes de empresas de seguridad). Se identificaron 3 candidatos dentro del período (Cyber Dragonz, LulzSec Muslims, REM) y 2 inmediatamente posteriores (agosto 2024). Ninguno fue cargado: quedan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 pedido del autor se buscaron ataques contra el Estado argentino, vinculados o no a conflictos geopolíticos. Se identificaron 13 candidatos (7 hacktivistas pro-Palestina, entre ellos Cyber Dragonz, LulzSec Muslims, REM y Stucx Team, y 6 cibercriminales o de motivación desconocida). Se guardaron en datos/candidatos_incidentes.csv,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para evaluar la hipótesis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propuso incluir también ataques sin motivación geopolítica, etiquetados por tipo de actor, para comparar si los ataques hacktivistas se concentran en las ventanas de vigilancia más que los cibercriminales.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decidió cargar los 13 candidatos en datos/incidentes_historicos.csv, todos marcados como no verificados. Los 2 sin fecha conocida (REM y Stucx Team) se listan, pero no entran al cálculo.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 del modelo por tipo de actor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Nuevas columnas tipo_actor y fecha_precision. Nuevo módulo de evaluación que compara, para ventanas de 3, 7, 14 y 21 días, el porcentaje de ataques dentro de las ventanas con la cobertura esperable por azar. Se muestra en la web en la sección 'Evaluación del modelo'. Total de pruebas automáticas: 15.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Extensión del período histórico hasta la actualidad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período pasa a ser 01/08/2023 – 11/10/2026 (el día anterior al inicio del monitoreo en vivo). El caso de estudio original se conserva como período predefinido. La descarga de GDELT conserva lo ya descargado (44 tramos, ~10.000 artículos) y pasa de 196 a 623 tramos.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Primeros resultados preliminares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21 días de ventana, 3 de 5 ataques hacktivistas con fecha caen dentro de ventanas (60 %) frente a una cobertura del 18 % (razón 3,3). Con 7 días ninguno cae dentro. El defacement de argentina.gob.ar (19/10/2023, motivación interna) cae dentro de la ventana posterior al 7 de octubre: ejemplo de falso positivo.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lista de candidatos (agosto 2024 – hoy)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Para el período extendido se identificaron 8 hechos clave (segunda y tercera visita de Milei a Israel, ingreso al Board of Peace, guerra de EE. UU. e Israel contra Irán, expulsión del encargado de negocios iraní, entre otros) y 10 incidentes (entre ellos el intento de DDoS a la Cancillería del 05/02/2026, atribuido a una campaña hacktivista contra los países del Board of Peace). Guardados en datos/candidatos_hechos_clave.csv y datos/candidatos_incidentes.csv, pendientes de decisión.</w:t>
            </w:r>
          </w:p>
        </w:tc>
      </w:tr>
    </w:tbl>
    <w:p>
      <w:pPr>
        <w:pStyle w:val="Heading1"/>
        <w:rPr/>
      </w:pPr>
      <w:r>
        <w:br w:type="page"/>
      </w:r>
      <w:bookmarkStart w:id="51" w:name="__RefHeading___Toc2673_1251848270"/>
      <w:bookmarkEnd w:id="51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r>
      <w:rPr>
        <w:color w:val="8F8E86"/>
        <w:sz w:val="16"/>
        <w:szCs w:val="16"/>
      </w:rPr>
      <w:t xml:space="preserve"> · Versión 0.4 (14/10/2026)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r>
      <w:rPr>
        <w:color w:val="8F8E86"/>
        <w:sz w:val="16"/>
        <w:szCs w:val="16"/>
      </w:rPr>
      <w:t xml:space="preserve"> · Versión 0.4 (14/10/2026)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33</Pages>
  <Words>7062</Words>
  <Characters>39292</Characters>
  <CharactersWithSpaces>45540</CharactersWithSpaces>
  <Paragraphs>960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2026-10-14T23:12:03Z</dcterms:created>
  <dc:creator>TFM Máster CTI - KSchool</dc:creator>
  <dc:description/>
  <dc:language>en-US</dc:language>
  <cp:lastModifiedBy/>
  <dcterms:modified xsi:type="dcterms:W3CDTF">2026-10-14T23:12:08Z</dcterms:modified>
  <cp:revision>2</cp:revision>
  <dc:subject/>
  <dc:title>Memoria de trabajo del TFM - Monitor Ciber-Geopolítico Argentina</dc:title>
</cp:coreProperties>
</file>