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D533" w14:textId="36C9991D" w:rsidR="00427635" w:rsidRPr="0033621E" w:rsidRDefault="004B2B2C" w:rsidP="0033621E">
      <w:pPr>
        <w:jc w:val="center"/>
        <w:rPr>
          <w:rFonts w:ascii="Fira Sans" w:hAnsi="Fira Sans"/>
          <w:color w:val="7030A0"/>
          <w:sz w:val="24"/>
          <w:szCs w:val="24"/>
          <w:lang w:val="es-AR"/>
        </w:rPr>
      </w:pPr>
      <w:proofErr w:type="spellStart"/>
      <w:r w:rsidRPr="0033621E">
        <w:rPr>
          <w:rFonts w:ascii="Fira Sans" w:hAnsi="Fira Sans"/>
          <w:color w:val="7030A0"/>
          <w:sz w:val="24"/>
          <w:szCs w:val="24"/>
          <w:lang w:val="es-AR"/>
        </w:rPr>
        <w:t>Binette</w:t>
      </w:r>
      <w:proofErr w:type="spellEnd"/>
      <w:r w:rsidRPr="0033621E">
        <w:rPr>
          <w:rFonts w:ascii="Fira Sans" w:hAnsi="Fira Sans"/>
          <w:color w:val="7030A0"/>
          <w:sz w:val="24"/>
          <w:szCs w:val="24"/>
          <w:lang w:val="es-AR"/>
        </w:rPr>
        <w:t xml:space="preserve">: </w:t>
      </w:r>
      <w:r w:rsidR="0033621E" w:rsidRPr="0033621E">
        <w:rPr>
          <w:rFonts w:ascii="Fira Sans" w:hAnsi="Fira Sans"/>
          <w:color w:val="7030A0"/>
          <w:sz w:val="24"/>
          <w:szCs w:val="24"/>
          <w:lang w:val="es-AR"/>
        </w:rPr>
        <w:t>Una herramienta rápida y</w:t>
      </w:r>
      <w:r w:rsidR="0033621E">
        <w:rPr>
          <w:rFonts w:ascii="Fira Sans" w:hAnsi="Fira Sans"/>
          <w:color w:val="7030A0"/>
          <w:sz w:val="24"/>
          <w:szCs w:val="24"/>
          <w:lang w:val="es-AR"/>
        </w:rPr>
        <w:t xml:space="preserve"> sencilla para la construcción de genomas ensamblados</w:t>
      </w:r>
    </w:p>
    <w:p w14:paraId="00A70737" w14:textId="7EF8B7D2" w:rsidR="0033621E" w:rsidRPr="0033621E" w:rsidRDefault="0033621E" w:rsidP="0033621E">
      <w:pPr>
        <w:jc w:val="center"/>
        <w:rPr>
          <w:rFonts w:ascii="Fira Sans" w:hAnsi="Fira Sans"/>
          <w:i/>
          <w:iCs/>
          <w:color w:val="7030A0"/>
          <w:sz w:val="24"/>
          <w:szCs w:val="24"/>
        </w:rPr>
      </w:pPr>
      <w:bookmarkStart w:id="0" w:name="_Hlk179186739"/>
      <w:r w:rsidRPr="0033621E">
        <w:rPr>
          <w:rFonts w:ascii="Fira Sans" w:hAnsi="Fira Sans"/>
          <w:i/>
          <w:iCs/>
          <w:color w:val="7030A0"/>
          <w:sz w:val="24"/>
          <w:szCs w:val="24"/>
        </w:rPr>
        <w:t>Binette: a fast and accurate bin refinement tool to construct high quality Metagenome Assembled Genomes.</w:t>
      </w:r>
    </w:p>
    <w:bookmarkEnd w:id="0"/>
    <w:p w14:paraId="16409B3A" w14:textId="77777777" w:rsidR="004B2B2C" w:rsidRPr="0033621E" w:rsidRDefault="004B2B2C" w:rsidP="0033621E">
      <w:pPr>
        <w:jc w:val="center"/>
      </w:pPr>
      <w:r w:rsidRPr="0033621E">
        <w:t xml:space="preserve">Jean Mainguy 1,2,3 and Claire </w:t>
      </w:r>
      <w:proofErr w:type="spellStart"/>
      <w:r w:rsidRPr="0033621E">
        <w:t>Hoede</w:t>
      </w:r>
      <w:proofErr w:type="spellEnd"/>
      <w:r w:rsidRPr="0033621E">
        <w:t xml:space="preserve"> 1,2¶</w:t>
      </w:r>
    </w:p>
    <w:p w14:paraId="0D753693" w14:textId="05222F63" w:rsidR="004B2B2C" w:rsidRDefault="004B2B2C" w:rsidP="0033621E">
      <w:pPr>
        <w:jc w:val="center"/>
        <w:rPr>
          <w:sz w:val="18"/>
          <w:szCs w:val="18"/>
        </w:rPr>
      </w:pPr>
      <w:r w:rsidRPr="0033621E">
        <w:rPr>
          <w:sz w:val="18"/>
          <w:szCs w:val="18"/>
        </w:rPr>
        <w:t xml:space="preserve">1 Université de Toulouse, INRAE, </w:t>
      </w:r>
      <w:proofErr w:type="spellStart"/>
      <w:r w:rsidRPr="0033621E">
        <w:rPr>
          <w:sz w:val="18"/>
          <w:szCs w:val="18"/>
        </w:rPr>
        <w:t>BioinfOmics</w:t>
      </w:r>
      <w:proofErr w:type="spellEnd"/>
      <w:r w:rsidRPr="0033621E">
        <w:rPr>
          <w:sz w:val="18"/>
          <w:szCs w:val="18"/>
        </w:rPr>
        <w:t xml:space="preserve">, </w:t>
      </w:r>
      <w:proofErr w:type="spellStart"/>
      <w:r w:rsidRPr="0033621E">
        <w:rPr>
          <w:sz w:val="18"/>
          <w:szCs w:val="18"/>
        </w:rPr>
        <w:t>GenoToul</w:t>
      </w:r>
      <w:proofErr w:type="spellEnd"/>
      <w:r w:rsidRPr="0033621E">
        <w:rPr>
          <w:sz w:val="18"/>
          <w:szCs w:val="18"/>
        </w:rPr>
        <w:t xml:space="preserve"> Bioinformatics facility, 31326, Castanet-</w:t>
      </w:r>
      <w:proofErr w:type="spellStart"/>
      <w:r w:rsidRPr="0033621E">
        <w:rPr>
          <w:sz w:val="18"/>
          <w:szCs w:val="18"/>
        </w:rPr>
        <w:t>Tolosan</w:t>
      </w:r>
      <w:proofErr w:type="spellEnd"/>
      <w:r w:rsidRPr="0033621E">
        <w:rPr>
          <w:sz w:val="18"/>
          <w:szCs w:val="18"/>
        </w:rPr>
        <w:t>, France 2 Université de Toulouse, INRAE, UR 875 MIAT, 31326, Castanet-</w:t>
      </w:r>
      <w:proofErr w:type="spellStart"/>
      <w:r w:rsidRPr="0033621E">
        <w:rPr>
          <w:sz w:val="18"/>
          <w:szCs w:val="18"/>
        </w:rPr>
        <w:t>Tolosan</w:t>
      </w:r>
      <w:proofErr w:type="spellEnd"/>
      <w:r w:rsidRPr="0033621E">
        <w:rPr>
          <w:sz w:val="18"/>
          <w:szCs w:val="18"/>
        </w:rPr>
        <w:t xml:space="preserve">, France 3 </w:t>
      </w:r>
      <w:proofErr w:type="spellStart"/>
      <w:r w:rsidRPr="0033621E">
        <w:rPr>
          <w:sz w:val="18"/>
          <w:szCs w:val="18"/>
        </w:rPr>
        <w:t>LABGeM</w:t>
      </w:r>
      <w:proofErr w:type="spellEnd"/>
      <w:r w:rsidRPr="0033621E">
        <w:rPr>
          <w:sz w:val="18"/>
          <w:szCs w:val="18"/>
        </w:rPr>
        <w:t xml:space="preserve">, </w:t>
      </w:r>
      <w:proofErr w:type="spellStart"/>
      <w:r w:rsidRPr="0033621E">
        <w:rPr>
          <w:sz w:val="18"/>
          <w:szCs w:val="18"/>
        </w:rPr>
        <w:t>Génomique</w:t>
      </w:r>
      <w:proofErr w:type="spellEnd"/>
      <w:r w:rsidRPr="0033621E">
        <w:rPr>
          <w:sz w:val="18"/>
          <w:szCs w:val="18"/>
        </w:rPr>
        <w:t xml:space="preserve"> </w:t>
      </w:r>
      <w:proofErr w:type="spellStart"/>
      <w:r w:rsidRPr="0033621E">
        <w:rPr>
          <w:sz w:val="18"/>
          <w:szCs w:val="18"/>
        </w:rPr>
        <w:t>Métabolique</w:t>
      </w:r>
      <w:proofErr w:type="spellEnd"/>
      <w:r w:rsidRPr="0033621E">
        <w:rPr>
          <w:sz w:val="18"/>
          <w:szCs w:val="18"/>
        </w:rPr>
        <w:t xml:space="preserve">, </w:t>
      </w:r>
      <w:proofErr w:type="spellStart"/>
      <w:r w:rsidRPr="0033621E">
        <w:rPr>
          <w:sz w:val="18"/>
          <w:szCs w:val="18"/>
        </w:rPr>
        <w:t>Genoscope</w:t>
      </w:r>
      <w:proofErr w:type="spellEnd"/>
      <w:r w:rsidRPr="0033621E">
        <w:rPr>
          <w:sz w:val="18"/>
          <w:szCs w:val="18"/>
        </w:rPr>
        <w:t xml:space="preserve">, </w:t>
      </w:r>
      <w:proofErr w:type="spellStart"/>
      <w:r w:rsidRPr="0033621E">
        <w:rPr>
          <w:sz w:val="18"/>
          <w:szCs w:val="18"/>
        </w:rPr>
        <w:t>Institut</w:t>
      </w:r>
      <w:proofErr w:type="spellEnd"/>
      <w:r w:rsidRPr="0033621E">
        <w:rPr>
          <w:sz w:val="18"/>
          <w:szCs w:val="18"/>
        </w:rPr>
        <w:t xml:space="preserve"> François Jacob, CEA, CNRS, Univ Evry, Université Paris-</w:t>
      </w:r>
      <w:proofErr w:type="spellStart"/>
      <w:r w:rsidRPr="0033621E">
        <w:rPr>
          <w:sz w:val="18"/>
          <w:szCs w:val="18"/>
        </w:rPr>
        <w:t>Saclay</w:t>
      </w:r>
      <w:proofErr w:type="spellEnd"/>
      <w:r w:rsidRPr="0033621E">
        <w:rPr>
          <w:sz w:val="18"/>
          <w:szCs w:val="18"/>
        </w:rPr>
        <w:t>, Evry, France ¶ Corresponding author</w:t>
      </w:r>
    </w:p>
    <w:p w14:paraId="0B809806" w14:textId="5B48E83B" w:rsidR="0033621E" w:rsidRDefault="0033621E" w:rsidP="0033621E">
      <w:pPr>
        <w:jc w:val="center"/>
        <w:rPr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030A0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119"/>
        <w:gridCol w:w="5375"/>
      </w:tblGrid>
      <w:tr w:rsidR="0033621E" w:rsidRPr="0033621E" w14:paraId="638ED136" w14:textId="77777777" w:rsidTr="00E351D4">
        <w:trPr>
          <w:trHeight w:val="397"/>
        </w:trPr>
        <w:tc>
          <w:tcPr>
            <w:tcW w:w="3119" w:type="dxa"/>
          </w:tcPr>
          <w:p w14:paraId="2B7DB345" w14:textId="10594783" w:rsidR="0033621E" w:rsidRPr="00E351D4" w:rsidRDefault="00E351D4" w:rsidP="00E351D4">
            <w:pPr>
              <w:jc w:val="right"/>
              <w:rPr>
                <w:b/>
                <w:bCs/>
                <w:color w:val="7030A0"/>
                <w:sz w:val="20"/>
                <w:szCs w:val="20"/>
              </w:rPr>
            </w:pPr>
            <w:proofErr w:type="spellStart"/>
            <w:r w:rsidRPr="00E351D4">
              <w:rPr>
                <w:b/>
                <w:bCs/>
                <w:color w:val="7030A0"/>
                <w:sz w:val="20"/>
                <w:szCs w:val="20"/>
              </w:rPr>
              <w:t>Repositorio</w:t>
            </w:r>
            <w:proofErr w:type="spellEnd"/>
            <w:r w:rsidRPr="00E351D4">
              <w:rPr>
                <w:b/>
                <w:bCs/>
                <w:color w:val="7030A0"/>
                <w:sz w:val="20"/>
                <w:szCs w:val="20"/>
              </w:rPr>
              <w:t xml:space="preserve"> / Repository</w:t>
            </w:r>
          </w:p>
        </w:tc>
        <w:tc>
          <w:tcPr>
            <w:tcW w:w="5375" w:type="dxa"/>
          </w:tcPr>
          <w:p w14:paraId="105337C2" w14:textId="44EB1260" w:rsidR="0033621E" w:rsidRPr="0033621E" w:rsidRDefault="00E351D4" w:rsidP="00E351D4">
            <w:pPr>
              <w:rPr>
                <w:color w:val="7030A0"/>
                <w:sz w:val="20"/>
                <w:szCs w:val="20"/>
              </w:rPr>
            </w:pPr>
            <w:hyperlink r:id="rId7" w:history="1">
              <w:r w:rsidRPr="00582B0C">
                <w:rPr>
                  <w:rStyle w:val="Hipervnculo"/>
                  <w:sz w:val="20"/>
                  <w:szCs w:val="20"/>
                </w:rPr>
                <w:t>https://github.com/gastonbecerra/scraping-casa-rosada</w:t>
              </w:r>
            </w:hyperlink>
          </w:p>
        </w:tc>
      </w:tr>
      <w:tr w:rsidR="0033621E" w:rsidRPr="0033621E" w14:paraId="13819C85" w14:textId="77777777" w:rsidTr="00E351D4">
        <w:trPr>
          <w:trHeight w:val="397"/>
        </w:trPr>
        <w:tc>
          <w:tcPr>
            <w:tcW w:w="3119" w:type="dxa"/>
          </w:tcPr>
          <w:p w14:paraId="78FCE63F" w14:textId="06429B66" w:rsidR="0033621E" w:rsidRPr="00E351D4" w:rsidRDefault="00E351D4" w:rsidP="00E351D4">
            <w:pPr>
              <w:jc w:val="right"/>
              <w:rPr>
                <w:b/>
                <w:bCs/>
                <w:color w:val="7030A0"/>
                <w:sz w:val="20"/>
                <w:szCs w:val="20"/>
              </w:rPr>
            </w:pPr>
            <w:proofErr w:type="spellStart"/>
            <w:r w:rsidRPr="00E351D4">
              <w:rPr>
                <w:b/>
                <w:bCs/>
                <w:color w:val="7030A0"/>
                <w:sz w:val="20"/>
                <w:szCs w:val="20"/>
              </w:rPr>
              <w:t>Archivo</w:t>
            </w:r>
            <w:proofErr w:type="spellEnd"/>
            <w:r w:rsidRPr="00E351D4">
              <w:rPr>
                <w:b/>
                <w:bCs/>
                <w:color w:val="7030A0"/>
                <w:sz w:val="20"/>
                <w:szCs w:val="20"/>
              </w:rPr>
              <w:t xml:space="preserve"> / Archive</w:t>
            </w:r>
          </w:p>
        </w:tc>
        <w:tc>
          <w:tcPr>
            <w:tcW w:w="5375" w:type="dxa"/>
          </w:tcPr>
          <w:p w14:paraId="1919F2BB" w14:textId="0D2256B4" w:rsidR="0033621E" w:rsidRPr="0033621E" w:rsidRDefault="00E351D4" w:rsidP="00E351D4">
            <w:pPr>
              <w:rPr>
                <w:color w:val="7030A0"/>
                <w:sz w:val="20"/>
                <w:szCs w:val="20"/>
              </w:rPr>
            </w:pPr>
            <w:hyperlink r:id="rId8" w:history="1">
              <w:r w:rsidRPr="00582B0C">
                <w:rPr>
                  <w:rStyle w:val="Hipervnculo"/>
                  <w:sz w:val="20"/>
                  <w:szCs w:val="20"/>
                </w:rPr>
                <w:t>https://github.com/gastonbecerra/scraping-casa-rosada</w:t>
              </w:r>
            </w:hyperlink>
          </w:p>
        </w:tc>
      </w:tr>
      <w:tr w:rsidR="0033621E" w:rsidRPr="0033621E" w14:paraId="6B7DA212" w14:textId="77777777" w:rsidTr="00E351D4">
        <w:trPr>
          <w:trHeight w:val="397"/>
        </w:trPr>
        <w:tc>
          <w:tcPr>
            <w:tcW w:w="3119" w:type="dxa"/>
          </w:tcPr>
          <w:p w14:paraId="6E5E50B6" w14:textId="195AFFD1" w:rsidR="0033621E" w:rsidRPr="00E351D4" w:rsidRDefault="0033621E" w:rsidP="00E351D4">
            <w:pPr>
              <w:jc w:val="right"/>
              <w:rPr>
                <w:b/>
                <w:bCs/>
                <w:color w:val="7030A0"/>
                <w:sz w:val="20"/>
                <w:szCs w:val="20"/>
              </w:rPr>
            </w:pPr>
            <w:proofErr w:type="spellStart"/>
            <w:r w:rsidRPr="00E351D4">
              <w:rPr>
                <w:b/>
                <w:bCs/>
                <w:color w:val="7030A0"/>
                <w:sz w:val="20"/>
                <w:szCs w:val="20"/>
              </w:rPr>
              <w:t>Documentación</w:t>
            </w:r>
            <w:proofErr w:type="spellEnd"/>
            <w:r w:rsidRPr="00E351D4">
              <w:rPr>
                <w:b/>
                <w:bCs/>
                <w:color w:val="7030A0"/>
                <w:sz w:val="20"/>
                <w:szCs w:val="20"/>
              </w:rPr>
              <w:t xml:space="preserve"> / Docs / Vignette</w:t>
            </w:r>
          </w:p>
        </w:tc>
        <w:tc>
          <w:tcPr>
            <w:tcW w:w="5375" w:type="dxa"/>
          </w:tcPr>
          <w:p w14:paraId="334B5160" w14:textId="34D9D740" w:rsidR="0033621E" w:rsidRPr="0033621E" w:rsidRDefault="00E351D4" w:rsidP="00E351D4">
            <w:pPr>
              <w:rPr>
                <w:color w:val="7030A0"/>
                <w:sz w:val="20"/>
                <w:szCs w:val="20"/>
              </w:rPr>
            </w:pPr>
            <w:hyperlink r:id="rId9" w:history="1">
              <w:r w:rsidRPr="00582B0C">
                <w:rPr>
                  <w:rStyle w:val="Hipervnculo"/>
                  <w:sz w:val="20"/>
                  <w:szCs w:val="20"/>
                </w:rPr>
                <w:t>https://github.com/gastonbecerra/scraping-casa-rosada</w:t>
              </w:r>
            </w:hyperlink>
          </w:p>
        </w:tc>
      </w:tr>
      <w:tr w:rsidR="00F27D11" w:rsidRPr="0033621E" w14:paraId="17D14E27" w14:textId="77777777" w:rsidTr="00E351D4">
        <w:trPr>
          <w:trHeight w:val="397"/>
        </w:trPr>
        <w:tc>
          <w:tcPr>
            <w:tcW w:w="3119" w:type="dxa"/>
          </w:tcPr>
          <w:p w14:paraId="79949AFC" w14:textId="41839FA8" w:rsidR="00F27D11" w:rsidRPr="00E351D4" w:rsidRDefault="00F27D11" w:rsidP="00F27D11">
            <w:pPr>
              <w:jc w:val="right"/>
              <w:rPr>
                <w:b/>
                <w:bCs/>
                <w:color w:val="7030A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7030A0"/>
                <w:sz w:val="20"/>
                <w:szCs w:val="20"/>
              </w:rPr>
              <w:t>Licencia</w:t>
            </w:r>
            <w:proofErr w:type="spellEnd"/>
            <w:r>
              <w:rPr>
                <w:b/>
                <w:bCs/>
                <w:color w:val="7030A0"/>
                <w:sz w:val="20"/>
                <w:szCs w:val="20"/>
              </w:rPr>
              <w:t xml:space="preserve"> / </w:t>
            </w:r>
            <w:proofErr w:type="spellStart"/>
            <w:r>
              <w:rPr>
                <w:b/>
                <w:bCs/>
                <w:color w:val="7030A0"/>
                <w:sz w:val="20"/>
                <w:szCs w:val="20"/>
              </w:rPr>
              <w:t>Licence</w:t>
            </w:r>
            <w:proofErr w:type="spellEnd"/>
          </w:p>
        </w:tc>
        <w:tc>
          <w:tcPr>
            <w:tcW w:w="5375" w:type="dxa"/>
          </w:tcPr>
          <w:p w14:paraId="550ABBBE" w14:textId="5EE8C14B" w:rsidR="00F27D11" w:rsidRDefault="00F27D11" w:rsidP="00F27D11">
            <w:pPr>
              <w:rPr>
                <w:color w:val="7030A0"/>
                <w:sz w:val="20"/>
                <w:szCs w:val="20"/>
              </w:rPr>
            </w:pPr>
            <w:hyperlink r:id="rId10" w:history="1">
              <w:r w:rsidRPr="00582B0C">
                <w:rPr>
                  <w:rStyle w:val="Hipervnculo"/>
                  <w:sz w:val="20"/>
                  <w:szCs w:val="20"/>
                </w:rPr>
                <w:t>https://github.com/gastonbecerra/scraping-casa-rosada</w:t>
              </w:r>
            </w:hyperlink>
          </w:p>
        </w:tc>
      </w:tr>
    </w:tbl>
    <w:p w14:paraId="3E784DE3" w14:textId="77777777" w:rsidR="00E351D4" w:rsidRDefault="00E351D4" w:rsidP="0033621E"/>
    <w:p w14:paraId="5463670C" w14:textId="6FFB0142" w:rsidR="0033621E" w:rsidRDefault="0033621E" w:rsidP="0033621E">
      <w:proofErr w:type="spellStart"/>
      <w:r w:rsidRPr="00E351D4">
        <w:rPr>
          <w:b/>
          <w:bCs/>
          <w:color w:val="7030A0"/>
        </w:rPr>
        <w:t>Resumen</w:t>
      </w:r>
      <w:proofErr w:type="spellEnd"/>
      <w:r>
        <w:t xml:space="preserve">. </w:t>
      </w:r>
      <w:r w:rsidR="00E351D4">
        <w:t>T</w:t>
      </w:r>
      <w:r>
        <w:t>hrough shotgun sequencing. An essential phase of metagenomic analysis is the recovery of</w:t>
      </w:r>
      <w:r>
        <w:t xml:space="preserve"> </w:t>
      </w:r>
      <w:r>
        <w:t>metagenome-assembled genomes (MAGs). MAGs serve as a gateway to additional analyses,</w:t>
      </w:r>
      <w:r>
        <w:t xml:space="preserve"> </w:t>
      </w:r>
      <w:r>
        <w:t>including the exploration of organism-specific metabolic pathways, and form the basis for</w:t>
      </w:r>
      <w:r>
        <w:t xml:space="preserve"> </w:t>
      </w:r>
      <w:r>
        <w:t xml:space="preserve">comprehensive large-scale metagenomic </w:t>
      </w:r>
      <w:proofErr w:type="spellStart"/>
      <w:r>
        <w:t>surve</w:t>
      </w:r>
      <w:proofErr w:type="spellEnd"/>
      <w:r w:rsidR="00245437">
        <w:t xml:space="preserve"> </w:t>
      </w:r>
    </w:p>
    <w:p w14:paraId="2DCF081F" w14:textId="6C381A7C" w:rsidR="0033621E" w:rsidRDefault="0033621E" w:rsidP="0033621E">
      <w:pPr>
        <w:rPr>
          <w:lang w:val="es-AR"/>
        </w:rPr>
      </w:pPr>
      <w:r w:rsidRPr="00245437">
        <w:rPr>
          <w:b/>
          <w:bCs/>
          <w:color w:val="7030A0"/>
          <w:lang w:val="es-AR"/>
        </w:rPr>
        <w:t>Palabras claves:</w:t>
      </w:r>
      <w:r w:rsidRPr="0033621E">
        <w:rPr>
          <w:lang w:val="es-AR"/>
        </w:rPr>
        <w:t xml:space="preserve"> </w:t>
      </w:r>
      <w:proofErr w:type="spellStart"/>
      <w:r w:rsidRPr="0033621E">
        <w:rPr>
          <w:lang w:val="es-AR"/>
        </w:rPr>
        <w:t>xxxx</w:t>
      </w:r>
      <w:proofErr w:type="spellEnd"/>
      <w:r w:rsidRPr="0033621E">
        <w:rPr>
          <w:lang w:val="es-AR"/>
        </w:rPr>
        <w:t xml:space="preserve">, </w:t>
      </w:r>
      <w:proofErr w:type="spellStart"/>
      <w:r w:rsidRPr="0033621E">
        <w:rPr>
          <w:lang w:val="es-AR"/>
        </w:rPr>
        <w:t>xxxx</w:t>
      </w:r>
      <w:proofErr w:type="spellEnd"/>
      <w:r w:rsidRPr="0033621E">
        <w:rPr>
          <w:lang w:val="es-AR"/>
        </w:rPr>
        <w:t>,</w:t>
      </w:r>
      <w:r w:rsidRPr="0033621E">
        <w:rPr>
          <w:lang w:val="es-AR"/>
        </w:rPr>
        <w:t xml:space="preserve"> </w:t>
      </w:r>
      <w:proofErr w:type="spellStart"/>
      <w:r w:rsidRPr="0033621E">
        <w:rPr>
          <w:lang w:val="es-AR"/>
        </w:rPr>
        <w:t>xxxx</w:t>
      </w:r>
      <w:proofErr w:type="spellEnd"/>
      <w:r w:rsidRPr="0033621E">
        <w:rPr>
          <w:lang w:val="es-AR"/>
        </w:rPr>
        <w:t>,</w:t>
      </w:r>
      <w:r w:rsidRPr="0033621E">
        <w:rPr>
          <w:lang w:val="es-AR"/>
        </w:rPr>
        <w:t xml:space="preserve"> </w:t>
      </w:r>
      <w:proofErr w:type="spellStart"/>
      <w:r w:rsidRPr="0033621E">
        <w:rPr>
          <w:lang w:val="es-AR"/>
        </w:rPr>
        <w:t>xxxx</w:t>
      </w:r>
      <w:proofErr w:type="spellEnd"/>
    </w:p>
    <w:p w14:paraId="3F5CF02C" w14:textId="77777777" w:rsidR="0033621E" w:rsidRPr="0033621E" w:rsidRDefault="0033621E" w:rsidP="0033621E">
      <w:pPr>
        <w:rPr>
          <w:lang w:val="es-AR"/>
        </w:rPr>
      </w:pPr>
    </w:p>
    <w:p w14:paraId="766DDC3A" w14:textId="3FFEE168" w:rsidR="0033621E" w:rsidRDefault="0033621E" w:rsidP="0033621E">
      <w:r w:rsidRPr="00E351D4">
        <w:rPr>
          <w:b/>
          <w:bCs/>
          <w:color w:val="7030A0"/>
        </w:rPr>
        <w:t>Abstract</w:t>
      </w:r>
      <w:r w:rsidRPr="00E351D4">
        <w:rPr>
          <w:b/>
          <w:bCs/>
          <w:color w:val="7030A0"/>
        </w:rPr>
        <w:t>.</w:t>
      </w:r>
      <w:r w:rsidRPr="0033621E">
        <w:t xml:space="preserve"> </w:t>
      </w:r>
      <w:r w:rsidR="00E351D4">
        <w:t>T</w:t>
      </w:r>
      <w:r w:rsidRPr="0033621E">
        <w:t xml:space="preserve">hrough shotgun sequencing. An essential phase of metagenomic analysis is the recovery of metagenome-assembled genomes (MAGs). MAGs serve as a gateway to additional analyses, including the exploration of organism-specific metabolic pathways, and form the basis for comprehensive large-scale metagenomic </w:t>
      </w:r>
      <w:proofErr w:type="spellStart"/>
      <w:r w:rsidRPr="0033621E">
        <w:t>surve</w:t>
      </w:r>
      <w:proofErr w:type="spellEnd"/>
    </w:p>
    <w:p w14:paraId="6660F133" w14:textId="0E8362F9" w:rsidR="0033621E" w:rsidRDefault="0033621E" w:rsidP="0033621E">
      <w:pPr>
        <w:rPr>
          <w:lang w:val="es-AR"/>
        </w:rPr>
      </w:pPr>
      <w:proofErr w:type="spellStart"/>
      <w:r w:rsidRPr="00E351D4">
        <w:rPr>
          <w:b/>
          <w:bCs/>
          <w:color w:val="7030A0"/>
        </w:rPr>
        <w:t>Keywords</w:t>
      </w:r>
      <w:proofErr w:type="spellEnd"/>
      <w:r w:rsidRPr="00E351D4">
        <w:rPr>
          <w:b/>
          <w:bCs/>
          <w:color w:val="7030A0"/>
        </w:rPr>
        <w:t>:</w:t>
      </w:r>
      <w:r w:rsidRPr="0033621E">
        <w:rPr>
          <w:lang w:val="es-AR"/>
        </w:rPr>
        <w:t xml:space="preserve"> </w:t>
      </w:r>
      <w:proofErr w:type="spellStart"/>
      <w:r w:rsidRPr="0033621E">
        <w:rPr>
          <w:lang w:val="es-AR"/>
        </w:rPr>
        <w:t>xxxx</w:t>
      </w:r>
      <w:proofErr w:type="spellEnd"/>
      <w:r w:rsidRPr="0033621E">
        <w:rPr>
          <w:lang w:val="es-AR"/>
        </w:rPr>
        <w:t xml:space="preserve">, </w:t>
      </w:r>
      <w:proofErr w:type="spellStart"/>
      <w:r w:rsidRPr="0033621E">
        <w:rPr>
          <w:lang w:val="es-AR"/>
        </w:rPr>
        <w:t>xxxx</w:t>
      </w:r>
      <w:proofErr w:type="spellEnd"/>
      <w:r w:rsidRPr="0033621E">
        <w:rPr>
          <w:lang w:val="es-AR"/>
        </w:rPr>
        <w:t xml:space="preserve">, </w:t>
      </w:r>
      <w:proofErr w:type="spellStart"/>
      <w:r w:rsidRPr="0033621E">
        <w:rPr>
          <w:lang w:val="es-AR"/>
        </w:rPr>
        <w:t>xxxx</w:t>
      </w:r>
      <w:proofErr w:type="spellEnd"/>
      <w:r w:rsidRPr="0033621E">
        <w:rPr>
          <w:lang w:val="es-AR"/>
        </w:rPr>
        <w:t xml:space="preserve">, </w:t>
      </w:r>
      <w:proofErr w:type="spellStart"/>
      <w:r w:rsidRPr="0033621E">
        <w:rPr>
          <w:lang w:val="es-AR"/>
        </w:rPr>
        <w:t>xxxx</w:t>
      </w:r>
      <w:proofErr w:type="spellEnd"/>
    </w:p>
    <w:p w14:paraId="61789923" w14:textId="6A97B3C5" w:rsidR="00E351D4" w:rsidRDefault="00E351D4" w:rsidP="0033621E">
      <w:pPr>
        <w:rPr>
          <w:lang w:val="es-AR"/>
        </w:rPr>
      </w:pPr>
    </w:p>
    <w:p w14:paraId="58D88786" w14:textId="65B5D897" w:rsidR="00E351D4" w:rsidRPr="00E351D4" w:rsidRDefault="00E351D4" w:rsidP="00E351D4">
      <w:pPr>
        <w:rPr>
          <w:lang w:val="es-AR"/>
        </w:rPr>
      </w:pPr>
      <w:r w:rsidRPr="00E351D4">
        <w:rPr>
          <w:b/>
          <w:bCs/>
          <w:color w:val="7030A0"/>
          <w:lang w:val="es-AR"/>
        </w:rPr>
        <w:t>Recibido</w:t>
      </w:r>
      <w:r w:rsidRPr="00E351D4">
        <w:rPr>
          <w:b/>
          <w:bCs/>
          <w:color w:val="7030A0"/>
          <w:lang w:val="es-AR"/>
        </w:rPr>
        <w:t>:</w:t>
      </w:r>
      <w:r w:rsidRPr="00E351D4">
        <w:rPr>
          <w:lang w:val="es-AR"/>
        </w:rPr>
        <w:t xml:space="preserve"> </w:t>
      </w:r>
      <w:proofErr w:type="spellStart"/>
      <w:r w:rsidRPr="00E351D4">
        <w:rPr>
          <w:lang w:val="es-AR"/>
        </w:rPr>
        <w:t>xx</w:t>
      </w:r>
      <w:proofErr w:type="spellEnd"/>
      <w:r w:rsidRPr="00E351D4">
        <w:rPr>
          <w:lang w:val="es-AR"/>
        </w:rPr>
        <w:t>/</w:t>
      </w:r>
      <w:proofErr w:type="spellStart"/>
      <w:r w:rsidRPr="00E351D4">
        <w:rPr>
          <w:lang w:val="es-AR"/>
        </w:rPr>
        <w:t>xx</w:t>
      </w:r>
      <w:proofErr w:type="spellEnd"/>
      <w:r w:rsidRPr="00E351D4">
        <w:rPr>
          <w:lang w:val="es-AR"/>
        </w:rPr>
        <w:t>/</w:t>
      </w:r>
      <w:proofErr w:type="spellStart"/>
      <w:r w:rsidRPr="00E351D4">
        <w:rPr>
          <w:lang w:val="es-AR"/>
        </w:rPr>
        <w:t>xxxx</w:t>
      </w:r>
      <w:proofErr w:type="spellEnd"/>
      <w:r>
        <w:rPr>
          <w:lang w:val="es-AR"/>
        </w:rPr>
        <w:t xml:space="preserve"> </w:t>
      </w:r>
      <w:r>
        <w:rPr>
          <w:b/>
          <w:bCs/>
          <w:color w:val="7030A0"/>
          <w:lang w:val="es-AR"/>
        </w:rPr>
        <w:t>Aceptado</w:t>
      </w:r>
      <w:r w:rsidRPr="00E351D4">
        <w:rPr>
          <w:b/>
          <w:bCs/>
          <w:color w:val="7030A0"/>
          <w:lang w:val="es-AR"/>
        </w:rPr>
        <w:t>:</w:t>
      </w:r>
      <w:r w:rsidRPr="00E351D4">
        <w:rPr>
          <w:lang w:val="es-AR"/>
        </w:rPr>
        <w:t xml:space="preserve"> </w:t>
      </w:r>
      <w:proofErr w:type="spellStart"/>
      <w:r w:rsidRPr="00E351D4">
        <w:rPr>
          <w:lang w:val="es-AR"/>
        </w:rPr>
        <w:t>xx</w:t>
      </w:r>
      <w:proofErr w:type="spellEnd"/>
      <w:r w:rsidRPr="00E351D4">
        <w:rPr>
          <w:lang w:val="es-AR"/>
        </w:rPr>
        <w:t>/</w:t>
      </w:r>
      <w:proofErr w:type="spellStart"/>
      <w:r w:rsidRPr="00E351D4">
        <w:rPr>
          <w:lang w:val="es-AR"/>
        </w:rPr>
        <w:t>xx</w:t>
      </w:r>
      <w:proofErr w:type="spellEnd"/>
      <w:r w:rsidRPr="00E351D4">
        <w:rPr>
          <w:lang w:val="es-AR"/>
        </w:rPr>
        <w:t>/</w:t>
      </w:r>
      <w:proofErr w:type="spellStart"/>
      <w:r w:rsidRPr="00E351D4">
        <w:rPr>
          <w:lang w:val="es-AR"/>
        </w:rPr>
        <w:t>xxxx</w:t>
      </w:r>
      <w:proofErr w:type="spellEnd"/>
    </w:p>
    <w:p w14:paraId="4044F7AC" w14:textId="30DE4B71" w:rsidR="0033621E" w:rsidRPr="00E351D4" w:rsidRDefault="0033621E" w:rsidP="0033621E">
      <w:pPr>
        <w:rPr>
          <w:lang w:val="es-AR"/>
        </w:rPr>
      </w:pPr>
    </w:p>
    <w:p w14:paraId="7D547D0B" w14:textId="1633AC9F" w:rsidR="00E351D4" w:rsidRDefault="00E351D4" w:rsidP="00245437">
      <w:pPr>
        <w:jc w:val="both"/>
        <w:rPr>
          <w:rFonts w:ascii="Fira Sans" w:hAnsi="Fira Sans"/>
          <w:color w:val="7030A0"/>
          <w:sz w:val="24"/>
          <w:szCs w:val="24"/>
        </w:rPr>
      </w:pPr>
      <w:proofErr w:type="spellStart"/>
      <w:r w:rsidRPr="00E351D4">
        <w:rPr>
          <w:rFonts w:ascii="Fira Sans" w:hAnsi="Fira Sans"/>
          <w:color w:val="7030A0"/>
          <w:sz w:val="24"/>
          <w:szCs w:val="24"/>
        </w:rPr>
        <w:t>Justificación</w:t>
      </w:r>
      <w:proofErr w:type="spellEnd"/>
      <w:r w:rsidRPr="00E351D4">
        <w:rPr>
          <w:rFonts w:ascii="Fira Sans" w:hAnsi="Fira Sans"/>
          <w:color w:val="7030A0"/>
          <w:sz w:val="24"/>
          <w:szCs w:val="24"/>
        </w:rPr>
        <w:t xml:space="preserve"> </w:t>
      </w:r>
      <w:r>
        <w:rPr>
          <w:rFonts w:ascii="Fira Sans" w:hAnsi="Fira Sans"/>
          <w:color w:val="7030A0"/>
          <w:sz w:val="24"/>
          <w:szCs w:val="24"/>
        </w:rPr>
        <w:t>/ Statement of need</w:t>
      </w:r>
    </w:p>
    <w:p w14:paraId="5B00EC3D" w14:textId="7FD64D24" w:rsidR="0033621E" w:rsidRDefault="00E351D4" w:rsidP="00245437">
      <w:pPr>
        <w:jc w:val="both"/>
      </w:pPr>
      <w:r w:rsidRPr="00E351D4">
        <w:t>In a metagenomic analysis, sequence reads are first assembled into longer sequences called</w:t>
      </w:r>
      <w:r>
        <w:t xml:space="preserve"> </w:t>
      </w:r>
      <w:r w:rsidRPr="00E351D4">
        <w:t>contigs. These contigs are then grouped into bins based on common characteristics in a process</w:t>
      </w:r>
      <w:r>
        <w:t xml:space="preserve"> </w:t>
      </w:r>
      <w:r w:rsidRPr="00E351D4">
        <w:t xml:space="preserve">called binning to obtain MAGs. There are several tools that can be used to bin contigs </w:t>
      </w:r>
      <w:r w:rsidRPr="00E351D4">
        <w:lastRenderedPageBreak/>
        <w:t>into</w:t>
      </w:r>
      <w:r>
        <w:t xml:space="preserve"> </w:t>
      </w:r>
      <w:r w:rsidRPr="00E351D4">
        <w:t>MAGs. These tools are based on various statistical and machine learning methods and use</w:t>
      </w:r>
      <w:r>
        <w:t xml:space="preserve"> </w:t>
      </w:r>
      <w:r w:rsidRPr="00E351D4">
        <w:t xml:space="preserve">contig characteristics such as tetranucleotide frequencies, GC content and </w:t>
      </w:r>
      <w:r w:rsidR="00245437" w:rsidRPr="00245437">
        <w:t xml:space="preserve">(Cadenas, 2012; Giordano, 2016; </w:t>
      </w:r>
      <w:proofErr w:type="spellStart"/>
      <w:r w:rsidR="00245437" w:rsidRPr="00245437">
        <w:t>Yocelevszky</w:t>
      </w:r>
      <w:proofErr w:type="spellEnd"/>
      <w:r w:rsidR="00245437" w:rsidRPr="00245437">
        <w:t>, 1997)</w:t>
      </w:r>
      <w:r w:rsidR="00245437">
        <w:t xml:space="preserve"> </w:t>
      </w:r>
      <w:r w:rsidRPr="00E351D4">
        <w:t>similar abundances</w:t>
      </w:r>
      <w:r>
        <w:t xml:space="preserve"> </w:t>
      </w:r>
      <w:r w:rsidRPr="00E351D4">
        <w:t>across samples (</w:t>
      </w:r>
      <w:proofErr w:type="spellStart"/>
      <w:r w:rsidRPr="00E351D4">
        <w:t>Alneberg</w:t>
      </w:r>
      <w:proofErr w:type="spellEnd"/>
      <w:r w:rsidRPr="00E351D4">
        <w:t xml:space="preserve"> et al., 2014; Kang et al., 2019; Nissen et al., 2021).</w:t>
      </w:r>
    </w:p>
    <w:p w14:paraId="054490FF" w14:textId="723054FB" w:rsidR="00E351D4" w:rsidRDefault="00E351D4" w:rsidP="00245437">
      <w:pPr>
        <w:jc w:val="both"/>
      </w:pPr>
    </w:p>
    <w:p w14:paraId="043C2EF6" w14:textId="184FF876" w:rsidR="00E351D4" w:rsidRPr="00E351D4" w:rsidRDefault="00E351D4" w:rsidP="00245437">
      <w:pPr>
        <w:jc w:val="both"/>
        <w:rPr>
          <w:rFonts w:ascii="Fira Sans" w:hAnsi="Fira Sans"/>
          <w:color w:val="7030A0"/>
          <w:sz w:val="24"/>
          <w:szCs w:val="24"/>
          <w:lang w:val="es-AR"/>
        </w:rPr>
      </w:pPr>
      <w:r w:rsidRPr="00E351D4">
        <w:rPr>
          <w:rFonts w:ascii="Fira Sans" w:hAnsi="Fira Sans"/>
          <w:color w:val="7030A0"/>
          <w:sz w:val="24"/>
          <w:szCs w:val="24"/>
          <w:lang w:val="es-AR"/>
        </w:rPr>
        <w:t xml:space="preserve">Consideraciones Metodológicas y Teóricas / </w:t>
      </w:r>
      <w:proofErr w:type="spellStart"/>
      <w:r w:rsidRPr="00E351D4">
        <w:rPr>
          <w:rFonts w:ascii="Fira Sans" w:hAnsi="Fira Sans"/>
          <w:color w:val="7030A0"/>
          <w:sz w:val="24"/>
          <w:szCs w:val="24"/>
          <w:lang w:val="es-AR"/>
        </w:rPr>
        <w:t>Methodological</w:t>
      </w:r>
      <w:proofErr w:type="spellEnd"/>
      <w:r w:rsidRPr="00E351D4">
        <w:rPr>
          <w:rFonts w:ascii="Fira Sans" w:hAnsi="Fira Sans"/>
          <w:color w:val="7030A0"/>
          <w:sz w:val="24"/>
          <w:szCs w:val="24"/>
          <w:lang w:val="es-AR"/>
        </w:rPr>
        <w:t xml:space="preserve"> and </w:t>
      </w:r>
      <w:proofErr w:type="spellStart"/>
      <w:r w:rsidRPr="00E351D4">
        <w:rPr>
          <w:rFonts w:ascii="Fira Sans" w:hAnsi="Fira Sans"/>
          <w:color w:val="7030A0"/>
          <w:sz w:val="24"/>
          <w:szCs w:val="24"/>
          <w:lang w:val="es-AR"/>
        </w:rPr>
        <w:t>Theoretical</w:t>
      </w:r>
      <w:proofErr w:type="spellEnd"/>
      <w:r w:rsidRPr="00E351D4">
        <w:rPr>
          <w:rFonts w:ascii="Fira Sans" w:hAnsi="Fira Sans"/>
          <w:color w:val="7030A0"/>
          <w:sz w:val="24"/>
          <w:szCs w:val="24"/>
          <w:lang w:val="es-AR"/>
        </w:rPr>
        <w:t xml:space="preserve"> </w:t>
      </w:r>
      <w:proofErr w:type="spellStart"/>
      <w:r w:rsidRPr="00E351D4">
        <w:rPr>
          <w:rFonts w:ascii="Fira Sans" w:hAnsi="Fira Sans"/>
          <w:color w:val="7030A0"/>
          <w:sz w:val="24"/>
          <w:szCs w:val="24"/>
          <w:lang w:val="es-AR"/>
        </w:rPr>
        <w:t>Considerations</w:t>
      </w:r>
      <w:proofErr w:type="spellEnd"/>
    </w:p>
    <w:p w14:paraId="13E24772" w14:textId="77777777" w:rsidR="00E351D4" w:rsidRDefault="00E351D4" w:rsidP="00245437">
      <w:pPr>
        <w:jc w:val="both"/>
      </w:pPr>
      <w:r w:rsidRPr="00E351D4">
        <w:t>In a metagenomic analysis, sequence reads are first assembled into longer sequences called</w:t>
      </w:r>
      <w:r>
        <w:t xml:space="preserve"> </w:t>
      </w:r>
      <w:r w:rsidRPr="00E351D4">
        <w:t>contigs. These contigs are then grouped into bins based on common characteristics in a process</w:t>
      </w:r>
      <w:r>
        <w:t xml:space="preserve"> </w:t>
      </w:r>
      <w:r w:rsidRPr="00E351D4">
        <w:t>called binning to obtain MAGs. There are several tools that can be used to bin contigs into</w:t>
      </w:r>
      <w:r>
        <w:t xml:space="preserve"> </w:t>
      </w:r>
      <w:r w:rsidRPr="00E351D4">
        <w:t>MAGs. These tools are based on various statistical and machine learning methods and use</w:t>
      </w:r>
      <w:r>
        <w:t xml:space="preserve"> </w:t>
      </w:r>
      <w:r w:rsidRPr="00E351D4">
        <w:t>contig characteristics such as tetranucleotide frequencies, GC content and similar abundances</w:t>
      </w:r>
      <w:r>
        <w:t xml:space="preserve"> </w:t>
      </w:r>
      <w:r w:rsidRPr="00E351D4">
        <w:t>across samples (</w:t>
      </w:r>
      <w:proofErr w:type="spellStart"/>
      <w:r w:rsidRPr="00E351D4">
        <w:t>Alneberg</w:t>
      </w:r>
      <w:proofErr w:type="spellEnd"/>
      <w:r w:rsidRPr="00E351D4">
        <w:t xml:space="preserve"> et al., 2014; Kang et al., 2019; Nissen et al., 2021).</w:t>
      </w:r>
    </w:p>
    <w:p w14:paraId="6ADB9D1B" w14:textId="77777777" w:rsidR="00E351D4" w:rsidRPr="00E351D4" w:rsidRDefault="00E351D4" w:rsidP="00245437">
      <w:pPr>
        <w:jc w:val="both"/>
      </w:pPr>
    </w:p>
    <w:p w14:paraId="79D3A107" w14:textId="46605EDA" w:rsidR="00E351D4" w:rsidRDefault="00245437" w:rsidP="00245437">
      <w:pPr>
        <w:jc w:val="both"/>
        <w:rPr>
          <w:rFonts w:ascii="Fira Sans" w:hAnsi="Fira Sans"/>
          <w:color w:val="7030A0"/>
          <w:sz w:val="24"/>
          <w:szCs w:val="24"/>
        </w:rPr>
      </w:pPr>
      <w:proofErr w:type="spellStart"/>
      <w:r>
        <w:rPr>
          <w:rFonts w:ascii="Fira Sans" w:hAnsi="Fira Sans"/>
          <w:color w:val="7030A0"/>
          <w:sz w:val="24"/>
          <w:szCs w:val="24"/>
        </w:rPr>
        <w:t>Herramientas</w:t>
      </w:r>
      <w:proofErr w:type="spellEnd"/>
      <w:r>
        <w:rPr>
          <w:rFonts w:ascii="Fira Sans" w:hAnsi="Fira Sans"/>
          <w:color w:val="7030A0"/>
          <w:sz w:val="24"/>
          <w:szCs w:val="24"/>
        </w:rPr>
        <w:t xml:space="preserve"> </w:t>
      </w:r>
      <w:proofErr w:type="spellStart"/>
      <w:r>
        <w:rPr>
          <w:rFonts w:ascii="Fira Sans" w:hAnsi="Fira Sans"/>
          <w:color w:val="7030A0"/>
          <w:sz w:val="24"/>
          <w:szCs w:val="24"/>
        </w:rPr>
        <w:t>alternativas</w:t>
      </w:r>
      <w:proofErr w:type="spellEnd"/>
      <w:r w:rsidR="00E351D4" w:rsidRPr="00E351D4">
        <w:rPr>
          <w:rFonts w:ascii="Fira Sans" w:hAnsi="Fira Sans"/>
          <w:color w:val="7030A0"/>
          <w:sz w:val="24"/>
          <w:szCs w:val="24"/>
        </w:rPr>
        <w:t xml:space="preserve"> </w:t>
      </w:r>
      <w:r w:rsidR="00E351D4">
        <w:rPr>
          <w:rFonts w:ascii="Fira Sans" w:hAnsi="Fira Sans"/>
          <w:color w:val="7030A0"/>
          <w:sz w:val="24"/>
          <w:szCs w:val="24"/>
        </w:rPr>
        <w:t xml:space="preserve">/ </w:t>
      </w:r>
      <w:r w:rsidRPr="00245437">
        <w:rPr>
          <w:rFonts w:ascii="Fira Sans" w:hAnsi="Fira Sans"/>
          <w:color w:val="7030A0"/>
          <w:sz w:val="24"/>
          <w:szCs w:val="24"/>
        </w:rPr>
        <w:t>Comparison with Alternative Tools</w:t>
      </w:r>
    </w:p>
    <w:p w14:paraId="46D586C0" w14:textId="77777777" w:rsidR="00E351D4" w:rsidRDefault="00E351D4" w:rsidP="00245437">
      <w:pPr>
        <w:jc w:val="both"/>
      </w:pPr>
      <w:r w:rsidRPr="00E351D4">
        <w:t>In a metagenomic analysis, sequence reads are first assembled into longer sequences called</w:t>
      </w:r>
      <w:r>
        <w:t xml:space="preserve"> </w:t>
      </w:r>
      <w:r w:rsidRPr="00E351D4">
        <w:t>contigs. These contigs are then grouped into bins based on common characteristics in a process</w:t>
      </w:r>
      <w:r>
        <w:t xml:space="preserve"> </w:t>
      </w:r>
      <w:r w:rsidRPr="00E351D4">
        <w:t>called binning to obtain MAGs. There are several tools that can be used to bin contigs into</w:t>
      </w:r>
      <w:r>
        <w:t xml:space="preserve"> </w:t>
      </w:r>
      <w:r w:rsidRPr="00E351D4">
        <w:t>MAGs. These tools are based on various statistical and machine learning methods and use</w:t>
      </w:r>
      <w:r>
        <w:t xml:space="preserve"> </w:t>
      </w:r>
      <w:r w:rsidRPr="00E351D4">
        <w:t>contig characteristics such as tetranucleotide frequencies, GC content and similar abundances</w:t>
      </w:r>
      <w:r>
        <w:t xml:space="preserve"> </w:t>
      </w:r>
      <w:r w:rsidRPr="00E351D4">
        <w:t>across samples (</w:t>
      </w:r>
      <w:proofErr w:type="spellStart"/>
      <w:r w:rsidRPr="00E351D4">
        <w:t>Alneberg</w:t>
      </w:r>
      <w:proofErr w:type="spellEnd"/>
      <w:r w:rsidRPr="00E351D4">
        <w:t xml:space="preserve"> et al., 2014; Kang et al., 2019; Nissen et al., 2021).</w:t>
      </w:r>
    </w:p>
    <w:p w14:paraId="089F3B4F" w14:textId="77777777" w:rsidR="00E351D4" w:rsidRPr="00E351D4" w:rsidRDefault="00E351D4" w:rsidP="00E351D4"/>
    <w:p w14:paraId="51CF935E" w14:textId="092F0594" w:rsidR="00E351D4" w:rsidRDefault="00245437" w:rsidP="00E351D4">
      <w:pPr>
        <w:rPr>
          <w:rFonts w:ascii="Fira Sans" w:hAnsi="Fira Sans"/>
          <w:color w:val="7030A0"/>
          <w:sz w:val="24"/>
          <w:szCs w:val="24"/>
        </w:rPr>
      </w:pPr>
      <w:proofErr w:type="spellStart"/>
      <w:r>
        <w:rPr>
          <w:rFonts w:ascii="Fira Sans" w:hAnsi="Fira Sans"/>
          <w:color w:val="7030A0"/>
          <w:sz w:val="24"/>
          <w:szCs w:val="24"/>
        </w:rPr>
        <w:t>Referencias</w:t>
      </w:r>
      <w:proofErr w:type="spellEnd"/>
      <w:r>
        <w:rPr>
          <w:rFonts w:ascii="Fira Sans" w:hAnsi="Fira Sans"/>
          <w:color w:val="7030A0"/>
          <w:sz w:val="24"/>
          <w:szCs w:val="24"/>
        </w:rPr>
        <w:t xml:space="preserve"> / References</w:t>
      </w:r>
    </w:p>
    <w:p w14:paraId="73A7E135" w14:textId="16DB7C31" w:rsidR="00245437" w:rsidRPr="00245437" w:rsidRDefault="00245437" w:rsidP="00245437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Times New Roman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245437">
        <w:rPr>
          <w:rFonts w:cs="Times New Roman"/>
          <w:noProof/>
          <w:szCs w:val="24"/>
        </w:rPr>
        <w:t xml:space="preserve">Cadenas, H. (2012). Estructuralismo y teoría de sistemas sociales. </w:t>
      </w:r>
      <w:r w:rsidRPr="00245437">
        <w:rPr>
          <w:rFonts w:cs="Times New Roman"/>
          <w:i/>
          <w:iCs/>
          <w:noProof/>
          <w:szCs w:val="24"/>
        </w:rPr>
        <w:t>Cinta de Moebio. Revista de Epistemología de Ciencias Sociales.</w:t>
      </w:r>
      <w:r w:rsidRPr="00245437">
        <w:rPr>
          <w:rFonts w:cs="Times New Roman"/>
          <w:noProof/>
          <w:szCs w:val="24"/>
        </w:rPr>
        <w:t xml:space="preserve">, </w:t>
      </w:r>
      <w:r w:rsidRPr="00245437">
        <w:rPr>
          <w:rFonts w:cs="Times New Roman"/>
          <w:i/>
          <w:iCs/>
          <w:noProof/>
          <w:szCs w:val="24"/>
        </w:rPr>
        <w:t>45</w:t>
      </w:r>
      <w:r w:rsidRPr="00245437">
        <w:rPr>
          <w:rFonts w:cs="Times New Roman"/>
          <w:noProof/>
          <w:szCs w:val="24"/>
        </w:rPr>
        <w:t>, 204–214.</w:t>
      </w:r>
    </w:p>
    <w:p w14:paraId="0A77992E" w14:textId="77777777" w:rsidR="00245437" w:rsidRPr="00245437" w:rsidRDefault="00245437" w:rsidP="00245437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Times New Roman"/>
          <w:noProof/>
          <w:szCs w:val="24"/>
        </w:rPr>
      </w:pPr>
      <w:r w:rsidRPr="00245437">
        <w:rPr>
          <w:rFonts w:cs="Times New Roman"/>
          <w:noProof/>
          <w:szCs w:val="24"/>
        </w:rPr>
        <w:t xml:space="preserve">Giordano, P. (2016). </w:t>
      </w:r>
      <w:r w:rsidRPr="00245437">
        <w:rPr>
          <w:rFonts w:cs="Times New Roman"/>
          <w:i/>
          <w:iCs/>
          <w:noProof/>
          <w:szCs w:val="24"/>
        </w:rPr>
        <w:t>Dinero, poder, influencia y compromisos de valor. Ascendencia de los medios de intercambio en la Teoría General de la Acción de Talcott Parsons</w:t>
      </w:r>
      <w:r w:rsidRPr="00245437">
        <w:rPr>
          <w:rFonts w:cs="Times New Roman"/>
          <w:noProof/>
          <w:szCs w:val="24"/>
        </w:rPr>
        <w:t>. Universidad de Buenos Aires.</w:t>
      </w:r>
    </w:p>
    <w:p w14:paraId="293C34FB" w14:textId="77777777" w:rsidR="00245437" w:rsidRPr="00245437" w:rsidRDefault="00245437" w:rsidP="00245437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</w:rPr>
      </w:pPr>
      <w:r w:rsidRPr="00245437">
        <w:rPr>
          <w:rFonts w:cs="Times New Roman"/>
          <w:noProof/>
          <w:szCs w:val="24"/>
        </w:rPr>
        <w:t xml:space="preserve">Yocelevszky, R. (1997). Sociogénesis y sociología: el cambio de paradigma en las ciencias sociales latinoamericanas. In R. García (Ed.), </w:t>
      </w:r>
      <w:r w:rsidRPr="00245437">
        <w:rPr>
          <w:rFonts w:cs="Times New Roman"/>
          <w:i/>
          <w:iCs/>
          <w:noProof/>
          <w:szCs w:val="24"/>
        </w:rPr>
        <w:t>La epistemología genética y la ciencia contemporánea</w:t>
      </w:r>
      <w:r w:rsidRPr="00245437">
        <w:rPr>
          <w:rFonts w:ascii="Arial" w:hAnsi="Arial" w:cs="Arial"/>
          <w:i/>
          <w:iCs/>
          <w:noProof/>
          <w:szCs w:val="24"/>
        </w:rPr>
        <w:t> </w:t>
      </w:r>
      <w:r w:rsidRPr="00245437">
        <w:rPr>
          <w:rFonts w:cs="Times New Roman"/>
          <w:i/>
          <w:iCs/>
          <w:noProof/>
          <w:szCs w:val="24"/>
        </w:rPr>
        <w:t>: homanaje a Jean Piaget en su centenario</w:t>
      </w:r>
      <w:r w:rsidRPr="00245437">
        <w:rPr>
          <w:rFonts w:cs="Times New Roman"/>
          <w:noProof/>
          <w:szCs w:val="24"/>
        </w:rPr>
        <w:t xml:space="preserve"> (pp. 153–170). Gedisa.</w:t>
      </w:r>
    </w:p>
    <w:p w14:paraId="6BF5A31A" w14:textId="3258F6F0" w:rsidR="00245437" w:rsidRDefault="00245437" w:rsidP="00E351D4">
      <w:pPr>
        <w:rPr>
          <w:rFonts w:ascii="Fira Sans" w:hAnsi="Fira Sans"/>
          <w:color w:val="7030A0"/>
          <w:sz w:val="24"/>
          <w:szCs w:val="24"/>
        </w:rPr>
      </w:pPr>
      <w:r>
        <w:fldChar w:fldCharType="end"/>
      </w:r>
    </w:p>
    <w:sectPr w:rsidR="00245437" w:rsidSect="004B2B2C">
      <w:headerReference w:type="default" r:id="rId11"/>
      <w:pgSz w:w="11906" w:h="16838"/>
      <w:pgMar w:top="297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AF5EB" w14:textId="77777777" w:rsidR="00856059" w:rsidRDefault="00856059" w:rsidP="0033621E">
      <w:r>
        <w:separator/>
      </w:r>
    </w:p>
  </w:endnote>
  <w:endnote w:type="continuationSeparator" w:id="0">
    <w:p w14:paraId="04A9FAFF" w14:textId="77777777" w:rsidR="00856059" w:rsidRDefault="00856059" w:rsidP="00336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50D80" w14:textId="77777777" w:rsidR="00856059" w:rsidRDefault="00856059" w:rsidP="0033621E">
      <w:r>
        <w:separator/>
      </w:r>
    </w:p>
  </w:footnote>
  <w:footnote w:type="continuationSeparator" w:id="0">
    <w:p w14:paraId="541FCBFF" w14:textId="77777777" w:rsidR="00856059" w:rsidRDefault="00856059" w:rsidP="00336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59C44" w14:textId="38E20467" w:rsidR="004B2B2C" w:rsidRDefault="004B2B2C" w:rsidP="0033621E">
    <w:pPr>
      <w:pStyle w:val="Encabezado"/>
    </w:pPr>
    <w:r w:rsidRPr="004B2B2C">
      <w:rPr>
        <w:noProof/>
      </w:rPr>
      <w:drawing>
        <wp:anchor distT="0" distB="0" distL="114300" distR="114300" simplePos="0" relativeHeight="251658240" behindDoc="0" locked="0" layoutInCell="1" allowOverlap="1" wp14:anchorId="51CFB65D" wp14:editId="657C6730">
          <wp:simplePos x="0" y="0"/>
          <wp:positionH relativeFrom="column">
            <wp:posOffset>-684350</wp:posOffset>
          </wp:positionH>
          <wp:positionV relativeFrom="paragraph">
            <wp:posOffset>-190273</wp:posOffset>
          </wp:positionV>
          <wp:extent cx="2761335" cy="1337481"/>
          <wp:effectExtent l="0" t="0" r="127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1050" cy="13421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2C"/>
    <w:rsid w:val="00231D32"/>
    <w:rsid w:val="00245437"/>
    <w:rsid w:val="0033621E"/>
    <w:rsid w:val="00427635"/>
    <w:rsid w:val="004B2B2C"/>
    <w:rsid w:val="006C61F8"/>
    <w:rsid w:val="00856059"/>
    <w:rsid w:val="00E351D4"/>
    <w:rsid w:val="00F2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51154D"/>
  <w15:chartTrackingRefBased/>
  <w15:docId w15:val="{A6AD43D7-A6D3-4D7D-B3C1-70ADD56E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437"/>
    <w:rPr>
      <w:rFonts w:ascii="Candara Light" w:hAnsi="Candara Light" w:cstheme="minorHAns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B2C"/>
  </w:style>
  <w:style w:type="paragraph" w:styleId="Piedepgina">
    <w:name w:val="footer"/>
    <w:basedOn w:val="Normal"/>
    <w:link w:val="PiedepginaCar"/>
    <w:uiPriority w:val="99"/>
    <w:unhideWhenUsed/>
    <w:rsid w:val="004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B2C"/>
  </w:style>
  <w:style w:type="table" w:styleId="Tablaconcuadrcula">
    <w:name w:val="Table Grid"/>
    <w:basedOn w:val="Tablanormal"/>
    <w:uiPriority w:val="39"/>
    <w:rsid w:val="00336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351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5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stonbecerra/scraping-casa-rosad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astonbecerra/scraping-casa-rosad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astonbecerra/scraping-casa-rosa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stonbecerra/scraping-casa-rosad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96BF4-AD4E-4999-9A45-0B66DE880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</dc:creator>
  <cp:keywords/>
  <dc:description/>
  <cp:lastModifiedBy>Gaston</cp:lastModifiedBy>
  <cp:revision>4</cp:revision>
  <dcterms:created xsi:type="dcterms:W3CDTF">2024-10-07T12:24:00Z</dcterms:created>
  <dcterms:modified xsi:type="dcterms:W3CDTF">2024-10-07T12:56:00Z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6th/7th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http://www.zotero.org/styles/haute-ecole-de-gestion-de-geneve-iso-690</vt:lpwstr>
  </property>
  <property fmtid="{D5CDD505-2E9C-101B-9397-08002B2CF9AE}" pid="15" name="Mendeley Recent Style Name 6_1">
    <vt:lpwstr>Haute école de gestion de Genève (ISO 690)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9th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f41e0e73-94f4-3082-8349-b81552fe3eac</vt:lpwstr>
  </property>
  <property fmtid="{D5CDD505-2E9C-101B-9397-08002B2CF9AE}" pid="24" name="Mendeley Citation Style_1">
    <vt:lpwstr>http://www.zotero.org/styles/apa</vt:lpwstr>
  </property>
</Properties>
</file>