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pPr>
        <w:pStyle w:val="Heading1"/>
        <w:keepNext/>
        <w:spacing w:before="140" w:after="60"/>
      </w:pPr>
      <w:r>
        <w:rPr>
          <w:rFonts w:ascii="Times New Roman" w:hAnsi="Times New Roman"/>
          <w:b/>
          <w:i w:val="0"/>
          <w:sz w:val="30"/>
        </w:rPr>
        <w:t>(1) Overview</w:t>
      </w:r>
    </w:p>
    <w:p>
      <w:pPr>
        <w:pStyle w:val="Heading2"/>
        <w:keepNext/>
        <w:spacing w:before="80" w:after="60"/>
      </w:pPr>
      <w:r>
        <w:rPr>
          <w:rFonts w:ascii="Times New Roman" w:hAnsi="Times New Roman"/>
          <w:b/>
          <w:i w:val="0"/>
          <w:sz w:val="24"/>
        </w:rPr>
        <w:t>Title</w:t>
      </w:r>
    </w:p>
    <w:p>
      <w:pPr>
        <w:spacing w:after="80" w:before="0" w:line="247" w:lineRule="auto"/>
        <w:jc w:val="left"/>
      </w:pPr>
      <w:r>
        <w:rPr>
          <w:rFonts w:ascii="Times New Roman" w:hAnsi="Times New Roman"/>
          <w:b/>
          <w:i w:val="0"/>
          <w:sz w:val="26"/>
        </w:rPr>
        <w:t>Open Educational ECG Acquisition and Data-Logging Platform Using AD8232 and ESP32-C3</w:t>
      </w:r>
    </w:p>
    <w:p>
      <w:pPr>
        <w:pStyle w:val="Heading2"/>
        <w:keepNext/>
        <w:spacing w:before="80" w:after="60"/>
      </w:pPr>
      <w:r>
        <w:rPr>
          <w:rFonts w:ascii="Times New Roman" w:hAnsi="Times New Roman"/>
          <w:b/>
          <w:i w:val="0"/>
          <w:sz w:val="24"/>
        </w:rPr>
        <w:t>Authors</w:t>
      </w:r>
    </w:p>
    <w:p>
      <w:pPr>
        <w:spacing w:after="80" w:before="0" w:line="247" w:lineRule="auto"/>
        <w:jc w:val="left"/>
      </w:pPr>
      <w:r>
        <w:rPr>
          <w:rFonts w:ascii="Times New Roman" w:hAnsi="Times New Roman"/>
          <w:b w:val="0"/>
          <w:i w:val="0"/>
          <w:sz w:val="20"/>
        </w:rPr>
        <w:t>1. Ambati, Shreyas; lead author</w:t>
      </w:r>
    </w:p>
    <w:p>
      <w:pPr>
        <w:spacing w:after="80" w:before="0" w:line="247" w:lineRule="auto"/>
        <w:jc w:val="left"/>
      </w:pPr>
      <w:r>
        <w:rPr>
          <w:rFonts w:ascii="Times New Roman" w:hAnsi="Times New Roman"/>
          <w:b w:val="0"/>
          <w:i w:val="0"/>
          <w:sz w:val="20"/>
        </w:rPr>
        <w:t>2. Dias, Gaston Ravin; corresponding author</w:t>
      </w:r>
    </w:p>
    <w:p>
      <w:pPr>
        <w:spacing w:after="80" w:before="0" w:line="247" w:lineRule="auto"/>
        <w:jc w:val="left"/>
      </w:pPr>
      <w:r>
        <w:rPr>
          <w:rFonts w:ascii="Times New Roman" w:hAnsi="Times New Roman"/>
          <w:b w:val="0"/>
          <w:i w:val="0"/>
          <w:sz w:val="20"/>
        </w:rPr>
        <w:t>3. Ahmad, Mohd Yazed bin; author</w:t>
      </w:r>
    </w:p>
    <w:p>
      <w:pPr>
        <w:spacing w:after="80" w:before="0" w:line="247" w:lineRule="auto"/>
        <w:jc w:val="left"/>
      </w:pPr>
      <w:r>
        <w:rPr>
          <w:rFonts w:ascii="Times New Roman" w:hAnsi="Times New Roman"/>
          <w:b w:val="0"/>
          <w:i w:val="0"/>
          <w:sz w:val="20"/>
        </w:rPr>
        <w:t>1. Independent student researcher; email: shreyasmabati64@gmail.com</w:t>
      </w:r>
    </w:p>
    <w:p>
      <w:pPr>
        <w:spacing w:after="80" w:before="0" w:line="247" w:lineRule="auto"/>
        <w:jc w:val="left"/>
      </w:pPr>
      <w:r>
        <w:rPr>
          <w:rFonts w:ascii="Times New Roman" w:hAnsi="Times New Roman"/>
          <w:b w:val="0"/>
          <w:i w:val="0"/>
          <w:sz w:val="20"/>
        </w:rPr>
        <w:t>2. Healthcare Engineering (Pvt) Ltd, Colombo, Sri Lanka; email: sam.gastondias@gmail.com; ORCID: 0009-0006-6596-788X</w:t>
      </w:r>
    </w:p>
    <w:p>
      <w:pPr>
        <w:spacing w:after="80" w:before="0" w:line="247" w:lineRule="auto"/>
        <w:jc w:val="left"/>
      </w:pPr>
      <w:r>
        <w:rPr>
          <w:rFonts w:ascii="Times New Roman" w:hAnsi="Times New Roman"/>
          <w:b w:val="0"/>
          <w:i w:val="0"/>
          <w:sz w:val="20"/>
        </w:rPr>
        <w:t>3. Universiti Malaya, Malaysia; email: myaz@um.edu.my</w:t>
      </w:r>
    </w:p>
    <w:p>
      <w:pPr>
        <w:spacing w:after="80" w:before="0" w:line="247" w:lineRule="auto"/>
        <w:jc w:val="left"/>
      </w:pPr>
      <w:r>
        <w:rPr>
          <w:rFonts w:ascii="Times New Roman" w:hAnsi="Times New Roman"/>
          <w:b w:val="0"/>
          <w:i w:val="0"/>
          <w:sz w:val="20"/>
        </w:rPr>
        <w:t>Corresponding author: Gaston Ravin Dias, sam.gastondias@gmail.com</w:t>
      </w:r>
    </w:p>
    <w:p>
      <w:pPr>
        <w:pStyle w:val="Heading2"/>
        <w:keepNext/>
        <w:spacing w:before="80" w:after="60"/>
      </w:pPr>
      <w:r>
        <w:rPr>
          <w:rFonts w:ascii="Times New Roman" w:hAnsi="Times New Roman"/>
          <w:b/>
          <w:i w:val="0"/>
          <w:sz w:val="24"/>
        </w:rPr>
        <w:t>Abstract</w:t>
      </w:r>
    </w:p>
    <w:p>
      <w:pPr>
        <w:spacing w:after="80" w:before="0" w:line="247" w:lineRule="auto"/>
        <w:jc w:val="both"/>
      </w:pPr>
      <w:r>
        <w:rPr>
          <w:rFonts w:ascii="Times New Roman" w:hAnsi="Times New Roman"/>
          <w:b w:val="0"/>
          <w:i w:val="0"/>
          <w:sz w:val="20"/>
        </w:rPr>
        <w:t>This Educational Hardware article documents a modular single-lead ECG acquisition and data-logging platform developed for supervised biomedical-engineering teaching. The original breadboard prototype combined an AD8232 analogue front end, ESP32-C3 controller, OLED display, DS3231 real-time clock, microSD pathway, INA219 power monitoring, buck-boost regulation, rechargeable power support and a small solar-assisted extension. Retained evidence comprises prototype photographs, OLED outputs and serial-plotter waveform visualisations. These materials demonstrate physical integration and qualitative signal streaming but do not establish calibrated amplitude, diagnostic accuracy, timing precision, dropped-sample rate, storage reliability, battery runtime or solar-charging performance. The open release therefore focuses on transparent educational reuse. It provides an editable wiring diagram, pin map, bill of materials, assembly and safety guidance, a reference firmware configured for raw 12-bit ADC logging at a nominal 250 samples/s, a qualitative evidence matrix, and a reproducible test protocol. The firmware records lead-off and storage status but performs no heart-rate diagnosis, arrhythmia classification or trained AI inference. The design is intended only for supervised education and non-clinical bench prototyping.</w:t>
      </w:r>
    </w:p>
    <w:p>
      <w:pPr>
        <w:pStyle w:val="Heading2"/>
        <w:keepNext/>
        <w:spacing w:before="80" w:after="60"/>
      </w:pPr>
      <w:r>
        <w:rPr>
          <w:rFonts w:ascii="Times New Roman" w:hAnsi="Times New Roman"/>
          <w:b/>
          <w:i w:val="0"/>
          <w:sz w:val="24"/>
        </w:rPr>
        <w:t>Metadata Overview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06"/>
        <w:gridCol w:w="4906"/>
      </w:tblGrid>
      <w:tr>
        <w:trPr>
          <w:tblHeader w:val="true"/>
        </w:trPr>
        <w:tc>
          <w:tcPr>
            <w:tcW w:type="dxa" w:w="4906"/>
            <w:shd w:fill="D8EAF6"/>
            <w:vAlign w:val="center"/>
          </w:tcPr>
          <w:p>
            <w:pPr>
              <w:spacing w:after="0"/>
              <w:jc w:val="left"/>
            </w:pPr>
            <w:r/>
            <w:r>
              <w:rPr>
                <w:rFonts w:ascii="Times New Roman" w:hAnsi="Times New Roman"/>
                <w:b/>
                <w:sz w:val="17"/>
              </w:rPr>
              <w:t>Item</w:t>
            </w:r>
          </w:p>
        </w:tc>
        <w:tc>
          <w:tcPr>
            <w:tcW w:type="dxa" w:w="4906"/>
            <w:shd w:fill="D8EAF6"/>
            <w:vAlign w:val="center"/>
          </w:tcPr>
          <w:p>
            <w:pPr>
              <w:spacing w:after="0"/>
              <w:jc w:val="left"/>
            </w:pPr>
            <w:r/>
            <w:r>
              <w:rPr>
                <w:rFonts w:ascii="Times New Roman" w:hAnsi="Times New Roman"/>
                <w:b/>
                <w:sz w:val="17"/>
              </w:rPr>
              <w:t>Description</w:t>
            </w:r>
          </w:p>
        </w:tc>
      </w:tr>
      <w:tr>
        <w:trPr>
          <w:cantSplit/>
        </w:trPr>
        <w:tc>
          <w:tcPr>
            <w:tcW w:type="dxa" w:w="4906"/>
            <w:vAlign w:val="center"/>
          </w:tcPr>
          <w:p>
            <w:pPr>
              <w:spacing w:after="0"/>
              <w:jc w:val="left"/>
            </w:pPr>
            <w:r/>
            <w:r>
              <w:rPr>
                <w:rFonts w:ascii="Times New Roman" w:hAnsi="Times New Roman"/>
                <w:b w:val="0"/>
                <w:sz w:val="16"/>
              </w:rPr>
              <w:t>Main design files</w:t>
            </w:r>
          </w:p>
        </w:tc>
        <w:tc>
          <w:tcPr>
            <w:tcW w:type="dxa" w:w="4906"/>
            <w:vAlign w:val="center"/>
          </w:tcPr>
          <w:p>
            <w:pPr>
              <w:spacing w:after="0"/>
              <w:jc w:val="left"/>
            </w:pPr>
            <w:r/>
            <w:r>
              <w:rPr>
                <w:rFonts w:ascii="Times New Roman" w:hAnsi="Times New Roman"/>
                <w:b w:val="0"/>
                <w:sz w:val="16"/>
              </w:rPr>
              <w:t>Versioned repository: https://github.com/gastonravindias/open-educational-ecg-data-logger; release: v1.0.0. The package contains editable design files, reference firmware, BOM, assembly guidance, test protocol, safety records and media.</w:t>
            </w:r>
          </w:p>
        </w:tc>
      </w:tr>
      <w:tr>
        <w:trPr>
          <w:cantSplit/>
        </w:trPr>
        <w:tc>
          <w:tcPr>
            <w:tcW w:type="dxa" w:w="4906"/>
            <w:vAlign w:val="center"/>
          </w:tcPr>
          <w:p>
            <w:pPr>
              <w:spacing w:after="0"/>
              <w:jc w:val="left"/>
            </w:pPr>
            <w:r/>
            <w:r>
              <w:rPr>
                <w:rFonts w:ascii="Times New Roman" w:hAnsi="Times New Roman"/>
                <w:b w:val="0"/>
                <w:sz w:val="16"/>
              </w:rPr>
              <w:t>Target group</w:t>
            </w:r>
          </w:p>
        </w:tc>
        <w:tc>
          <w:tcPr>
            <w:tcW w:type="dxa" w:w="4906"/>
            <w:vAlign w:val="center"/>
          </w:tcPr>
          <w:p>
            <w:pPr>
              <w:spacing w:after="0"/>
              <w:jc w:val="left"/>
            </w:pPr>
            <w:r/>
            <w:r>
              <w:rPr>
                <w:rFonts w:ascii="Times New Roman" w:hAnsi="Times New Roman"/>
                <w:b w:val="0"/>
                <w:sz w:val="16"/>
              </w:rPr>
              <w:t>Biomedical engineering students and educators, supervised STEM learners, embedded-systems students and open-hardware developers.</w:t>
            </w:r>
          </w:p>
        </w:tc>
      </w:tr>
      <w:tr>
        <w:trPr>
          <w:cantSplit/>
        </w:trPr>
        <w:tc>
          <w:tcPr>
            <w:tcW w:type="dxa" w:w="4906"/>
            <w:vAlign w:val="center"/>
          </w:tcPr>
          <w:p>
            <w:pPr>
              <w:spacing w:after="0"/>
              <w:jc w:val="left"/>
            </w:pPr>
            <w:r/>
            <w:r>
              <w:rPr>
                <w:rFonts w:ascii="Times New Roman" w:hAnsi="Times New Roman"/>
                <w:b w:val="0"/>
                <w:sz w:val="16"/>
              </w:rPr>
              <w:t>Skills required</w:t>
            </w:r>
          </w:p>
        </w:tc>
        <w:tc>
          <w:tcPr>
            <w:tcW w:type="dxa" w:w="4906"/>
            <w:vAlign w:val="center"/>
          </w:tcPr>
          <w:p>
            <w:pPr>
              <w:spacing w:after="0"/>
              <w:jc w:val="left"/>
            </w:pPr>
            <w:r/>
            <w:r>
              <w:rPr>
                <w:rFonts w:ascii="Times New Roman" w:hAnsi="Times New Roman"/>
                <w:b w:val="0"/>
                <w:sz w:val="16"/>
              </w:rPr>
              <w:t>Breadboard wiring - intermediate; ESP32/Arduino programming - intermediate; I²C/SPI interfacing - intermediate; low-voltage bench testing - intermediate.</w:t>
            </w:r>
          </w:p>
        </w:tc>
      </w:tr>
      <w:tr>
        <w:trPr>
          <w:cantSplit/>
        </w:trPr>
        <w:tc>
          <w:tcPr>
            <w:tcW w:type="dxa" w:w="4906"/>
            <w:vAlign w:val="center"/>
          </w:tcPr>
          <w:p>
            <w:pPr>
              <w:spacing w:after="0"/>
              <w:jc w:val="left"/>
            </w:pPr>
            <w:r/>
            <w:r>
              <w:rPr>
                <w:rFonts w:ascii="Times New Roman" w:hAnsi="Times New Roman"/>
                <w:b w:val="0"/>
                <w:sz w:val="16"/>
              </w:rPr>
              <w:t>Replication</w:t>
            </w:r>
          </w:p>
        </w:tc>
        <w:tc>
          <w:tcPr>
            <w:tcW w:type="dxa" w:w="4906"/>
            <w:vAlign w:val="center"/>
          </w:tcPr>
          <w:p>
            <w:pPr>
              <w:spacing w:after="0"/>
              <w:jc w:val="left"/>
            </w:pPr>
            <w:r/>
            <w:r>
              <w:rPr>
                <w:rFonts w:ascii="Times New Roman" w:hAnsi="Times New Roman"/>
                <w:b w:val="0"/>
                <w:sz w:val="16"/>
              </w:rPr>
              <w:t>One original breadboard prototype was assembled and demonstrated. Independent replication was not completed and is not claimed.</w:t>
            </w:r>
          </w:p>
        </w:tc>
      </w:tr>
    </w:tbl>
    <w:p/>
    <w:p>
      <w:pPr>
        <w:pStyle w:val="Heading2"/>
        <w:keepNext/>
        <w:spacing w:before="80" w:after="60"/>
      </w:pPr>
      <w:r>
        <w:rPr>
          <w:rFonts w:ascii="Times New Roman" w:hAnsi="Times New Roman"/>
          <w:b/>
          <w:i w:val="0"/>
          <w:sz w:val="24"/>
        </w:rPr>
        <w:t>Keywords</w:t>
      </w:r>
    </w:p>
    <w:p>
      <w:pPr>
        <w:spacing w:after="80" w:before="0" w:line="247" w:lineRule="auto"/>
        <w:jc w:val="left"/>
      </w:pPr>
      <w:r>
        <w:rPr>
          <w:rFonts w:ascii="Times New Roman" w:hAnsi="Times New Roman"/>
          <w:b w:val="0"/>
          <w:i w:val="0"/>
          <w:sz w:val="20"/>
        </w:rPr>
        <w:t>educational hardware; electrocardiography; AD8232; ESP32-C3; data logging</w:t>
      </w:r>
    </w:p>
    <w:p>
      <w:pPr>
        <w:pStyle w:val="Heading2"/>
        <w:keepNext/>
        <w:spacing w:before="80" w:after="60"/>
      </w:pPr>
      <w:r>
        <w:rPr>
          <w:rFonts w:ascii="Times New Roman" w:hAnsi="Times New Roman"/>
          <w:b/>
          <w:i w:val="0"/>
          <w:sz w:val="24"/>
        </w:rPr>
        <w:t>Introduction</w:t>
      </w:r>
    </w:p>
    <w:p>
      <w:pPr>
        <w:spacing w:after="80" w:before="0" w:line="247" w:lineRule="auto"/>
        <w:jc w:val="both"/>
      </w:pPr>
      <w:r>
        <w:rPr>
          <w:rFonts w:ascii="Times New Roman" w:hAnsi="Times New Roman"/>
          <w:b w:val="0"/>
          <w:i w:val="0"/>
          <w:sz w:val="20"/>
        </w:rPr>
        <w:t>Low-cost ECG platforms are useful for teaching the pathway from electrode interface and analogue conditioning to embedded acquisition, display and storage [1-5]. Their limitations must also be explicit: electrode contact, movement, baseline drift, wiring layout and power noise can alter a displayed waveform, and a single-lead maker prototype cannot replace a certified clinical ECG system [6-8].</w:t>
      </w:r>
    </w:p>
    <w:p>
      <w:pPr>
        <w:spacing w:after="80" w:before="0" w:line="247" w:lineRule="auto"/>
        <w:jc w:val="both"/>
      </w:pPr>
      <w:r>
        <w:rPr>
          <w:rFonts w:ascii="Times New Roman" w:hAnsi="Times New Roman"/>
          <w:b w:val="0"/>
          <w:i w:val="0"/>
          <w:sz w:val="20"/>
        </w:rPr>
        <w:t>The present contribution is therefore educational rather than clinical. It documents the architecture, available functional evidence, reconstructed reference firmware, build logic, safety boundaries and open files needed for students to study or extend an ECG data logger. The optional solar subsystem is retained as an energy-design exercise, but no self-powered or runtime claim is made [9,10]. Open design sources and explicit reuse conditions support the reproducibility principles of open hardware [11,12].</w:t>
      </w:r>
    </w:p>
    <w:p>
      <w:pPr>
        <w:pStyle w:val="Heading2"/>
        <w:keepNext/>
        <w:spacing w:before="80" w:after="60"/>
      </w:pPr>
      <w:r>
        <w:rPr>
          <w:rFonts w:ascii="Times New Roman" w:hAnsi="Times New Roman"/>
          <w:b/>
          <w:i w:val="0"/>
          <w:sz w:val="24"/>
        </w:rPr>
        <w:t>Overall Implementation and design</w:t>
      </w:r>
    </w:p>
    <w:p>
      <w:pPr>
        <w:pStyle w:val="Heading3"/>
        <w:keepNext/>
        <w:spacing w:before="80" w:after="60"/>
      </w:pPr>
      <w:r>
        <w:rPr>
          <w:rFonts w:ascii="Times New Roman" w:hAnsi="Times New Roman"/>
          <w:b w:val="0"/>
          <w:i w:val="0"/>
          <w:sz w:val="21"/>
        </w:rPr>
        <w:t>Architecture and signal chain</w:t>
      </w:r>
    </w:p>
    <w:p>
      <w:pPr>
        <w:spacing w:after="80" w:before="0" w:line="247" w:lineRule="auto"/>
        <w:jc w:val="both"/>
      </w:pPr>
      <w:r>
        <w:rPr>
          <w:rFonts w:ascii="Times New Roman" w:hAnsi="Times New Roman"/>
          <w:b w:val="0"/>
          <w:i w:val="0"/>
          <w:sz w:val="20"/>
        </w:rPr>
        <w:t>Electrodes provide a single-lead input to the AD8232 analogue front end. Its conditioned output is connected to the ESP32-C3 ADC. A shared I²C bus connects the SSD1306 OLED, DS3231 RTC and INA219; the microSD module uses SPI. The released firmware writes raw ADC counts, elapsed time, RTC time, lead-off status, system state and cached power telemetry to CSV. It contains deterministic status logic only.</w:t>
      </w:r>
    </w:p>
    <w:p>
      <w:pPr>
        <w:keepNext/>
        <w:jc w:val="center"/>
      </w:pPr>
      <w:r>
        <w:drawing>
          <wp:inline xmlns:a="http://schemas.openxmlformats.org/drawingml/2006/main" xmlns:pic="http://schemas.openxmlformats.org/drawingml/2006/picture">
            <wp:extent cx="5715000" cy="3158289"/>
            <wp:docPr id="1" name="Picture 1"/>
            <wp:cNvGraphicFramePr>
              <a:graphicFrameLocks noChangeAspect="1"/>
            </wp:cNvGraphicFramePr>
            <a:graphic>
              <a:graphicData uri="http://schemas.openxmlformats.org/drawingml/2006/picture">
                <pic:pic>
                  <pic:nvPicPr>
                    <pic:cNvPr id="0" name="figure_architecture.png"/>
                    <pic:cNvPicPr/>
                  </pic:nvPicPr>
                  <pic:blipFill>
                    <a:blip r:embed="rId19"/>
                    <a:stretch>
                      <a:fillRect/>
                    </a:stretch>
                  </pic:blipFill>
                  <pic:spPr>
                    <a:xfrm>
                      <a:off x="0" y="0"/>
                      <a:ext cx="5715000" cy="3158289"/>
                    </a:xfrm>
                    <a:prstGeom prst="rect"/>
                  </pic:spPr>
                </pic:pic>
              </a:graphicData>
            </a:graphic>
          </wp:inline>
        </w:drawing>
      </w:r>
    </w:p>
    <w:p>
      <w:pPr>
        <w:spacing w:after="120"/>
        <w:jc w:val="both"/>
      </w:pPr>
      <w:r>
        <w:rPr>
          <w:rFonts w:ascii="Times New Roman" w:hAnsi="Times New Roman"/>
          <w:b w:val="0"/>
          <w:i/>
          <w:sz w:val="18"/>
        </w:rPr>
        <w:t>Figure 1: Educational ECG acquisition and data-logging architecture. The nominal firmware configuration is not a measured performance claim.</w:t>
      </w:r>
    </w:p>
    <w:p>
      <w:pPr>
        <w:spacing w:after="80" w:before="0" w:line="247" w:lineRule="auto"/>
        <w:jc w:val="both"/>
      </w:pPr>
      <w:r>
        <w:rPr>
          <w:rFonts w:ascii="Times New Roman" w:hAnsi="Times New Roman"/>
          <w:b w:val="0"/>
          <w:i w:val="0"/>
          <w:sz w:val="20"/>
        </w:rPr>
        <w:t>The original hardware was assembled from modular breakout boards on breadboards. This makes the signal and power pathways visible to learners and permits subsystem replacement, but it also creates loose-wire, noise and mechanical stability limitations. Figure 2 shows the assembled prototype and main modules.</w:t>
      </w:r>
    </w:p>
    <w:p>
      <w:pPr>
        <w:keepNext/>
        <w:jc w:val="center"/>
      </w:pPr>
      <w:r>
        <w:drawing>
          <wp:inline xmlns:a="http://schemas.openxmlformats.org/drawingml/2006/main" xmlns:pic="http://schemas.openxmlformats.org/drawingml/2006/picture">
            <wp:extent cx="4709160" cy="5740071"/>
            <wp:docPr id="2" name="Picture 2"/>
            <wp:cNvGraphicFramePr>
              <a:graphicFrameLocks noChangeAspect="1"/>
            </wp:cNvGraphicFramePr>
            <a:graphic>
              <a:graphicData uri="http://schemas.openxmlformats.org/drawingml/2006/picture">
                <pic:pic>
                  <pic:nvPicPr>
                    <pic:cNvPr id="0" name="image2.png"/>
                    <pic:cNvPicPr/>
                  </pic:nvPicPr>
                  <pic:blipFill>
                    <a:blip r:embed="rId20"/>
                    <a:stretch>
                      <a:fillRect/>
                    </a:stretch>
                  </pic:blipFill>
                  <pic:spPr>
                    <a:xfrm>
                      <a:off x="0" y="0"/>
                      <a:ext cx="4709160" cy="5740071"/>
                    </a:xfrm>
                    <a:prstGeom prst="rect"/>
                  </pic:spPr>
                </pic:pic>
              </a:graphicData>
            </a:graphic>
          </wp:inline>
        </w:drawing>
      </w:r>
    </w:p>
    <w:p>
      <w:pPr>
        <w:spacing w:after="120"/>
        <w:jc w:val="both"/>
      </w:pPr>
      <w:r>
        <w:rPr>
          <w:rFonts w:ascii="Times New Roman" w:hAnsi="Times New Roman"/>
          <w:b w:val="0"/>
          <w:i/>
          <w:sz w:val="18"/>
        </w:rPr>
        <w:t>Figure 2: Original breadboard prototype and main modules, including the ESP32-C3, AD8232, INA219 and TPS63020.</w:t>
      </w:r>
    </w:p>
    <w:p>
      <w:pPr>
        <w:pStyle w:val="Heading3"/>
        <w:keepNext/>
        <w:spacing w:before="80" w:after="60"/>
      </w:pPr>
      <w:r>
        <w:rPr>
          <w:rFonts w:ascii="Times New Roman" w:hAnsi="Times New Roman"/>
          <w:b w:val="0"/>
          <w:i w:val="0"/>
          <w:sz w:val="21"/>
        </w:rPr>
        <w:t>Connections and reference firmware</w:t>
      </w:r>
    </w:p>
    <w:p>
      <w:pPr>
        <w:spacing w:after="80" w:before="0" w:line="247" w:lineRule="auto"/>
        <w:jc w:val="both"/>
      </w:pPr>
      <w:r>
        <w:rPr>
          <w:rFonts w:ascii="Times New Roman" w:hAnsi="Times New Roman"/>
          <w:b w:val="0"/>
          <w:i w:val="0"/>
          <w:sz w:val="20"/>
        </w:rPr>
        <w:t>The documented pin map is normalised in Table 1 and is implemented in the released reference firmware. The firmware uses a code-defined 4000 microsecond schedule, corresponding to a nominal 250 samples/s, and explicitly sets 12-bit ADC resolution. These values describe the software configuration; retained measurements were insufficient to claim timing accuracy or calibrated voltage.</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71"/>
        <w:gridCol w:w="3271"/>
        <w:gridCol w:w="3271"/>
      </w:tblGrid>
      <w:tr>
        <w:trPr>
          <w:tblHeader w:val="true"/>
        </w:trPr>
        <w:tc>
          <w:tcPr>
            <w:tcW w:type="dxa" w:w="3271"/>
            <w:shd w:fill="D8EAF6"/>
            <w:vAlign w:val="center"/>
          </w:tcPr>
          <w:p>
            <w:pPr>
              <w:spacing w:after="0"/>
              <w:jc w:val="left"/>
            </w:pPr>
            <w:r/>
            <w:r>
              <w:rPr>
                <w:rFonts w:ascii="Times New Roman" w:hAnsi="Times New Roman"/>
                <w:b/>
                <w:sz w:val="17"/>
              </w:rPr>
              <w:t>Module signal</w:t>
            </w:r>
          </w:p>
        </w:tc>
        <w:tc>
          <w:tcPr>
            <w:tcW w:type="dxa" w:w="3271"/>
            <w:shd w:fill="D8EAF6"/>
            <w:vAlign w:val="center"/>
          </w:tcPr>
          <w:p>
            <w:pPr>
              <w:spacing w:after="0"/>
              <w:jc w:val="left"/>
            </w:pPr>
            <w:r/>
            <w:r>
              <w:rPr>
                <w:rFonts w:ascii="Times New Roman" w:hAnsi="Times New Roman"/>
                <w:b/>
                <w:sz w:val="17"/>
              </w:rPr>
              <w:t>ESP32-C3 pin</w:t>
            </w:r>
          </w:p>
        </w:tc>
        <w:tc>
          <w:tcPr>
            <w:tcW w:type="dxa" w:w="3271"/>
            <w:shd w:fill="D8EAF6"/>
            <w:vAlign w:val="center"/>
          </w:tcPr>
          <w:p>
            <w:pPr>
              <w:spacing w:after="0"/>
              <w:jc w:val="left"/>
            </w:pPr>
            <w:r/>
            <w:r>
              <w:rPr>
                <w:rFonts w:ascii="Times New Roman" w:hAnsi="Times New Roman"/>
                <w:b/>
                <w:sz w:val="17"/>
              </w:rPr>
              <w:t>Purpose</w:t>
            </w:r>
          </w:p>
        </w:tc>
      </w:tr>
      <w:tr>
        <w:trPr>
          <w:cantSplit/>
        </w:trPr>
        <w:tc>
          <w:tcPr>
            <w:tcW w:type="dxa" w:w="3271"/>
            <w:vAlign w:val="center"/>
          </w:tcPr>
          <w:p>
            <w:pPr>
              <w:spacing w:after="0"/>
              <w:jc w:val="left"/>
            </w:pPr>
            <w:r/>
            <w:r>
              <w:rPr>
                <w:rFonts w:ascii="Times New Roman" w:hAnsi="Times New Roman"/>
                <w:b w:val="0"/>
                <w:sz w:val="16"/>
              </w:rPr>
              <w:t>I²C SDA / SCL</w:t>
            </w:r>
          </w:p>
        </w:tc>
        <w:tc>
          <w:tcPr>
            <w:tcW w:type="dxa" w:w="3271"/>
            <w:vAlign w:val="center"/>
          </w:tcPr>
          <w:p>
            <w:pPr>
              <w:spacing w:after="0"/>
              <w:jc w:val="left"/>
            </w:pPr>
            <w:r/>
            <w:r>
              <w:rPr>
                <w:rFonts w:ascii="Times New Roman" w:hAnsi="Times New Roman"/>
                <w:b w:val="0"/>
                <w:sz w:val="16"/>
              </w:rPr>
              <w:t>GPIO20 / GPIO21</w:t>
            </w:r>
          </w:p>
        </w:tc>
        <w:tc>
          <w:tcPr>
            <w:tcW w:type="dxa" w:w="3271"/>
            <w:vAlign w:val="center"/>
          </w:tcPr>
          <w:p>
            <w:pPr>
              <w:spacing w:after="0"/>
              <w:jc w:val="left"/>
            </w:pPr>
            <w:r/>
            <w:r>
              <w:rPr>
                <w:rFonts w:ascii="Times New Roman" w:hAnsi="Times New Roman"/>
                <w:b w:val="0"/>
                <w:sz w:val="16"/>
              </w:rPr>
              <w:t>OLED, DS3231 and INA219</w:t>
            </w:r>
          </w:p>
        </w:tc>
      </w:tr>
      <w:tr>
        <w:trPr>
          <w:cantSplit/>
        </w:trPr>
        <w:tc>
          <w:tcPr>
            <w:tcW w:type="dxa" w:w="3271"/>
            <w:vAlign w:val="center"/>
          </w:tcPr>
          <w:p>
            <w:pPr>
              <w:spacing w:after="0"/>
              <w:jc w:val="left"/>
            </w:pPr>
            <w:r/>
            <w:r>
              <w:rPr>
                <w:rFonts w:ascii="Times New Roman" w:hAnsi="Times New Roman"/>
                <w:b w:val="0"/>
                <w:sz w:val="16"/>
              </w:rPr>
              <w:t>microSD SCK / MISO / MOSI / CS</w:t>
            </w:r>
          </w:p>
        </w:tc>
        <w:tc>
          <w:tcPr>
            <w:tcW w:type="dxa" w:w="3271"/>
            <w:vAlign w:val="center"/>
          </w:tcPr>
          <w:p>
            <w:pPr>
              <w:spacing w:after="0"/>
              <w:jc w:val="left"/>
            </w:pPr>
            <w:r/>
            <w:r>
              <w:rPr>
                <w:rFonts w:ascii="Times New Roman" w:hAnsi="Times New Roman"/>
                <w:b w:val="0"/>
                <w:sz w:val="16"/>
              </w:rPr>
              <w:t>GPIO4 / GPIO5 / GPIO6 / GPIO7</w:t>
            </w:r>
          </w:p>
        </w:tc>
        <w:tc>
          <w:tcPr>
            <w:tcW w:type="dxa" w:w="3271"/>
            <w:vAlign w:val="center"/>
          </w:tcPr>
          <w:p>
            <w:pPr>
              <w:spacing w:after="0"/>
              <w:jc w:val="left"/>
            </w:pPr>
            <w:r/>
            <w:r>
              <w:rPr>
                <w:rFonts w:ascii="Times New Roman" w:hAnsi="Times New Roman"/>
                <w:b w:val="0"/>
                <w:sz w:val="16"/>
              </w:rPr>
              <w:t>CSV storage</w:t>
            </w:r>
          </w:p>
        </w:tc>
      </w:tr>
      <w:tr>
        <w:trPr>
          <w:cantSplit/>
        </w:trPr>
        <w:tc>
          <w:tcPr>
            <w:tcW w:type="dxa" w:w="3271"/>
            <w:vAlign w:val="center"/>
          </w:tcPr>
          <w:p>
            <w:pPr>
              <w:spacing w:after="0"/>
              <w:jc w:val="left"/>
            </w:pPr>
            <w:r/>
            <w:r>
              <w:rPr>
                <w:rFonts w:ascii="Times New Roman" w:hAnsi="Times New Roman"/>
                <w:b w:val="0"/>
                <w:sz w:val="16"/>
              </w:rPr>
              <w:t>AD8232 OUT</w:t>
            </w:r>
          </w:p>
        </w:tc>
        <w:tc>
          <w:tcPr>
            <w:tcW w:type="dxa" w:w="3271"/>
            <w:vAlign w:val="center"/>
          </w:tcPr>
          <w:p>
            <w:pPr>
              <w:spacing w:after="0"/>
              <w:jc w:val="left"/>
            </w:pPr>
            <w:r/>
            <w:r>
              <w:rPr>
                <w:rFonts w:ascii="Times New Roman" w:hAnsi="Times New Roman"/>
                <w:b w:val="0"/>
                <w:sz w:val="16"/>
              </w:rPr>
              <w:t>GPIO0 / ADC</w:t>
            </w:r>
          </w:p>
        </w:tc>
        <w:tc>
          <w:tcPr>
            <w:tcW w:type="dxa" w:w="3271"/>
            <w:vAlign w:val="center"/>
          </w:tcPr>
          <w:p>
            <w:pPr>
              <w:spacing w:after="0"/>
              <w:jc w:val="left"/>
            </w:pPr>
            <w:r/>
            <w:r>
              <w:rPr>
                <w:rFonts w:ascii="Times New Roman" w:hAnsi="Times New Roman"/>
                <w:b w:val="0"/>
                <w:sz w:val="16"/>
              </w:rPr>
              <w:t>Raw analogue input</w:t>
            </w:r>
          </w:p>
        </w:tc>
      </w:tr>
      <w:tr>
        <w:trPr>
          <w:cantSplit/>
        </w:trPr>
        <w:tc>
          <w:tcPr>
            <w:tcW w:type="dxa" w:w="3271"/>
            <w:vAlign w:val="center"/>
          </w:tcPr>
          <w:p>
            <w:pPr>
              <w:spacing w:after="0"/>
              <w:jc w:val="left"/>
            </w:pPr>
            <w:r/>
            <w:r>
              <w:rPr>
                <w:rFonts w:ascii="Times New Roman" w:hAnsi="Times New Roman"/>
                <w:b w:val="0"/>
                <w:sz w:val="16"/>
              </w:rPr>
              <w:t>AD8232 LO+ / LO-</w:t>
            </w:r>
          </w:p>
        </w:tc>
        <w:tc>
          <w:tcPr>
            <w:tcW w:type="dxa" w:w="3271"/>
            <w:vAlign w:val="center"/>
          </w:tcPr>
          <w:p>
            <w:pPr>
              <w:spacing w:after="0"/>
              <w:jc w:val="left"/>
            </w:pPr>
            <w:r/>
            <w:r>
              <w:rPr>
                <w:rFonts w:ascii="Times New Roman" w:hAnsi="Times New Roman"/>
                <w:b w:val="0"/>
                <w:sz w:val="16"/>
              </w:rPr>
              <w:t>GPIO1 / GPIO3</w:t>
            </w:r>
          </w:p>
        </w:tc>
        <w:tc>
          <w:tcPr>
            <w:tcW w:type="dxa" w:w="3271"/>
            <w:vAlign w:val="center"/>
          </w:tcPr>
          <w:p>
            <w:pPr>
              <w:spacing w:after="0"/>
              <w:jc w:val="left"/>
            </w:pPr>
            <w:r/>
            <w:r>
              <w:rPr>
                <w:rFonts w:ascii="Times New Roman" w:hAnsi="Times New Roman"/>
                <w:b w:val="0"/>
                <w:sz w:val="16"/>
              </w:rPr>
              <w:t>Lead-off status</w:t>
            </w:r>
          </w:p>
        </w:tc>
      </w:tr>
      <w:tr>
        <w:trPr>
          <w:cantSplit/>
        </w:trPr>
        <w:tc>
          <w:tcPr>
            <w:tcW w:type="dxa" w:w="3271"/>
            <w:vAlign w:val="center"/>
          </w:tcPr>
          <w:p>
            <w:pPr>
              <w:spacing w:after="0"/>
              <w:jc w:val="left"/>
            </w:pPr>
            <w:r/>
            <w:r>
              <w:rPr>
                <w:rFonts w:ascii="Times New Roman" w:hAnsi="Times New Roman"/>
                <w:b w:val="0"/>
                <w:sz w:val="16"/>
              </w:rPr>
              <w:t>AD8232 SDN</w:t>
            </w:r>
          </w:p>
        </w:tc>
        <w:tc>
          <w:tcPr>
            <w:tcW w:type="dxa" w:w="3271"/>
            <w:vAlign w:val="center"/>
          </w:tcPr>
          <w:p>
            <w:pPr>
              <w:spacing w:after="0"/>
              <w:jc w:val="left"/>
            </w:pPr>
            <w:r/>
            <w:r>
              <w:rPr>
                <w:rFonts w:ascii="Times New Roman" w:hAnsi="Times New Roman"/>
                <w:b w:val="0"/>
                <w:sz w:val="16"/>
              </w:rPr>
              <w:t>GPIO10</w:t>
            </w:r>
          </w:p>
        </w:tc>
        <w:tc>
          <w:tcPr>
            <w:tcW w:type="dxa" w:w="3271"/>
            <w:vAlign w:val="center"/>
          </w:tcPr>
          <w:p>
            <w:pPr>
              <w:spacing w:after="0"/>
              <w:jc w:val="left"/>
            </w:pPr>
            <w:r/>
            <w:r>
              <w:rPr>
                <w:rFonts w:ascii="Times New Roman" w:hAnsi="Times New Roman"/>
                <w:b w:val="0"/>
                <w:sz w:val="16"/>
              </w:rPr>
              <w:t>Run/shutdown control</w:t>
            </w:r>
          </w:p>
        </w:tc>
      </w:tr>
      <w:tr>
        <w:trPr>
          <w:cantSplit/>
        </w:trPr>
        <w:tc>
          <w:tcPr>
            <w:tcW w:type="dxa" w:w="3271"/>
            <w:vAlign w:val="center"/>
          </w:tcPr>
          <w:p>
            <w:pPr>
              <w:spacing w:after="0"/>
              <w:jc w:val="left"/>
            </w:pPr>
            <w:r/>
            <w:r>
              <w:rPr>
                <w:rFonts w:ascii="Times New Roman" w:hAnsi="Times New Roman"/>
                <w:b w:val="0"/>
                <w:sz w:val="16"/>
              </w:rPr>
              <w:t>Buzzer input</w:t>
            </w:r>
          </w:p>
        </w:tc>
        <w:tc>
          <w:tcPr>
            <w:tcW w:type="dxa" w:w="3271"/>
            <w:vAlign w:val="center"/>
          </w:tcPr>
          <w:p>
            <w:pPr>
              <w:spacing w:after="0"/>
              <w:jc w:val="left"/>
            </w:pPr>
            <w:r/>
            <w:r>
              <w:rPr>
                <w:rFonts w:ascii="Times New Roman" w:hAnsi="Times New Roman"/>
                <w:b w:val="0"/>
                <w:sz w:val="16"/>
              </w:rPr>
              <w:t>GPIO2</w:t>
            </w:r>
          </w:p>
        </w:tc>
        <w:tc>
          <w:tcPr>
            <w:tcW w:type="dxa" w:w="3271"/>
            <w:vAlign w:val="center"/>
          </w:tcPr>
          <w:p>
            <w:pPr>
              <w:spacing w:after="0"/>
              <w:jc w:val="left"/>
            </w:pPr>
            <w:r/>
            <w:r>
              <w:rPr>
                <w:rFonts w:ascii="Times New Roman" w:hAnsi="Times New Roman"/>
                <w:b w:val="0"/>
                <w:sz w:val="16"/>
              </w:rPr>
              <w:t>Active-low warning</w:t>
            </w:r>
          </w:p>
        </w:tc>
      </w:tr>
    </w:tbl>
    <w:p/>
    <w:p>
      <w:pPr>
        <w:spacing w:after="120"/>
        <w:jc w:val="both"/>
      </w:pPr>
      <w:r>
        <w:rPr>
          <w:rFonts w:ascii="Times New Roman" w:hAnsi="Times New Roman"/>
          <w:b w:val="0"/>
          <w:i/>
          <w:sz w:val="18"/>
        </w:rPr>
        <w:t>Table 1: Normalised connection map used by the reference firmware.</w:t>
      </w:r>
    </w:p>
    <w:p>
      <w:pPr>
        <w:keepNext/>
        <w:jc w:val="center"/>
      </w:pPr>
      <w:r>
        <w:drawing>
          <wp:inline xmlns:a="http://schemas.openxmlformats.org/drawingml/2006/main" xmlns:pic="http://schemas.openxmlformats.org/drawingml/2006/picture">
            <wp:extent cx="5760720" cy="3070946"/>
            <wp:docPr id="3" name="Picture 3"/>
            <wp:cNvGraphicFramePr>
              <a:graphicFrameLocks noChangeAspect="1"/>
            </wp:cNvGraphicFramePr>
            <a:graphic>
              <a:graphicData uri="http://schemas.openxmlformats.org/drawingml/2006/picture">
                <pic:pic>
                  <pic:nvPicPr>
                    <pic:cNvPr id="0" name="image4.png"/>
                    <pic:cNvPicPr/>
                  </pic:nvPicPr>
                  <pic:blipFill>
                    <a:blip r:embed="rId21"/>
                    <a:stretch>
                      <a:fillRect/>
                    </a:stretch>
                  </pic:blipFill>
                  <pic:spPr>
                    <a:xfrm>
                      <a:off x="0" y="0"/>
                      <a:ext cx="5760720" cy="3070946"/>
                    </a:xfrm>
                    <a:prstGeom prst="rect"/>
                  </pic:spPr>
                </pic:pic>
              </a:graphicData>
            </a:graphic>
          </wp:inline>
        </w:drawing>
      </w:r>
    </w:p>
    <w:p>
      <w:pPr>
        <w:spacing w:after="120"/>
        <w:jc w:val="both"/>
      </w:pPr>
      <w:r>
        <w:rPr>
          <w:rFonts w:ascii="Times New Roman" w:hAnsi="Times New Roman"/>
          <w:b w:val="0"/>
          <w:i/>
          <w:sz w:val="18"/>
        </w:rPr>
        <w:t>Figure 3: Reconstructed subsystem wiring and power-path diagram. The editable SVG source is included in the repository.</w:t>
      </w:r>
    </w:p>
    <w:p>
      <w:pPr>
        <w:pStyle w:val="Heading3"/>
        <w:keepNext/>
        <w:spacing w:before="80" w:after="60"/>
      </w:pPr>
      <w:r>
        <w:rPr>
          <w:rFonts w:ascii="Times New Roman" w:hAnsi="Times New Roman"/>
          <w:b w:val="0"/>
          <w:i w:val="0"/>
          <w:sz w:val="21"/>
        </w:rPr>
        <w:t>Optional solar extension</w:t>
      </w:r>
    </w:p>
    <w:p>
      <w:pPr>
        <w:spacing w:after="80" w:before="0" w:line="247" w:lineRule="auto"/>
        <w:jc w:val="both"/>
      </w:pPr>
      <w:r>
        <w:rPr>
          <w:rFonts w:ascii="Times New Roman" w:hAnsi="Times New Roman"/>
          <w:b w:val="0"/>
          <w:i w:val="0"/>
          <w:sz w:val="20"/>
        </w:rPr>
        <w:t>The photographs show a small panel, battery holder, regulator and INA219, but the panel label, cell capacity and charger purchase records were not retained. No claim is therefore made that the photographed panel sustained the system. For replication, the repository provides a conservative design calculation using a 0.60 W assumed core load, 8 h/day operation, 0.80 regulator efficiency, four equivalent peak-sun-hours, 0.70 charging efficiency and a 1.30 safety factor. The calculated minimum is 2.79 W; a 5 V panel rated at least 3 W is recommended only when paired with a compatible protected charger. This is a design recommendation, not an experimental result.</w:t>
      </w:r>
    </w:p>
    <w:p>
      <w:pPr>
        <w:pStyle w:val="Heading1"/>
        <w:keepNext/>
        <w:spacing w:before="140" w:after="60"/>
      </w:pPr>
      <w:r>
        <w:rPr>
          <w:rFonts w:ascii="Times New Roman" w:hAnsi="Times New Roman"/>
          <w:b/>
          <w:i w:val="0"/>
          <w:sz w:val="30"/>
        </w:rPr>
        <w:t>(2) Quality control</w:t>
      </w:r>
    </w:p>
    <w:p>
      <w:pPr>
        <w:pStyle w:val="Heading2"/>
        <w:keepNext/>
        <w:spacing w:before="80" w:after="60"/>
      </w:pPr>
      <w:r>
        <w:rPr>
          <w:rFonts w:ascii="Times New Roman" w:hAnsi="Times New Roman"/>
          <w:b/>
          <w:i w:val="0"/>
          <w:sz w:val="24"/>
        </w:rPr>
        <w:t>Safety</w:t>
      </w:r>
    </w:p>
    <w:p>
      <w:pPr>
        <w:spacing w:after="80" w:before="0" w:line="247" w:lineRule="auto"/>
        <w:jc w:val="both"/>
      </w:pPr>
      <w:r>
        <w:rPr>
          <w:rFonts w:ascii="Times New Roman" w:hAnsi="Times New Roman"/>
          <w:b w:val="0"/>
          <w:i w:val="0"/>
          <w:sz w:val="20"/>
        </w:rPr>
        <w:t>The prototype is not a medical device and has not been evaluated for IEC 60601-1 or IEC 60601-2-47 compliance [13,14]. ISO 14971 is cited only as a risk-management reference; compliance is not claimed [15]. The valid use context is supervised bench education.</w:t>
      </w:r>
    </w:p>
    <w:p>
      <w:pPr>
        <w:spacing w:after="80" w:before="0" w:line="247" w:lineRule="auto"/>
        <w:jc w:val="both"/>
      </w:pPr>
      <w:r>
        <w:rPr>
          <w:rFonts w:ascii="Times New Roman" w:hAnsi="Times New Roman"/>
          <w:b w:val="0"/>
          <w:i w:val="0"/>
          <w:sz w:val="20"/>
        </w:rPr>
        <w:t>The release requires battery-only operation whenever electrodes are connected; physical disconnection of USB, charging and externally powered instruments before electrode connection; disconnection of electrodes before programming; and avoidance of human-connected use of the open breadboard. Quantitative tests should use an ECG simulator or calibrated source. Protected batteries and charger-compatible power components are required.</w:t>
      </w:r>
    </w:p>
    <w:p>
      <w:pPr>
        <w:pStyle w:val="Heading2"/>
        <w:keepNext/>
        <w:spacing w:before="80" w:after="60"/>
      </w:pPr>
      <w:r>
        <w:rPr>
          <w:rFonts w:ascii="Times New Roman" w:hAnsi="Times New Roman"/>
          <w:b/>
          <w:i w:val="0"/>
          <w:sz w:val="24"/>
        </w:rPr>
        <w:t>Calibration</w:t>
      </w:r>
    </w:p>
    <w:p>
      <w:pPr>
        <w:spacing w:after="80" w:before="0" w:line="247" w:lineRule="auto"/>
        <w:jc w:val="both"/>
      </w:pPr>
      <w:r>
        <w:rPr>
          <w:rFonts w:ascii="Times New Roman" w:hAnsi="Times New Roman"/>
          <w:b w:val="0"/>
          <w:i w:val="0"/>
          <w:sz w:val="20"/>
        </w:rPr>
        <w:t>No diagnostic or amplitude calibration is claimed. The retained screenshots do not provide traceable voltage or reference-ECG comparison. The released firmware therefore logs raw 12-bit ADC counts. The repository test protocol explains how a replicator can apply known safe voltages or an ECG simulator, derive count-to-voltage scaling, characterise timing and preserve raw data.</w:t>
      </w:r>
    </w:p>
    <w:p>
      <w:pPr>
        <w:pStyle w:val="Heading2"/>
        <w:keepNext/>
        <w:spacing w:before="80" w:after="60"/>
      </w:pPr>
      <w:r>
        <w:rPr>
          <w:rFonts w:ascii="Times New Roman" w:hAnsi="Times New Roman"/>
          <w:b/>
          <w:i w:val="0"/>
          <w:sz w:val="24"/>
        </w:rPr>
        <w:t>General testing</w:t>
      </w:r>
    </w:p>
    <w:p>
      <w:pPr>
        <w:spacing w:after="80" w:before="0" w:line="247" w:lineRule="auto"/>
        <w:jc w:val="both"/>
      </w:pPr>
      <w:r>
        <w:rPr>
          <w:rFonts w:ascii="Times New Roman" w:hAnsi="Times New Roman"/>
          <w:b w:val="0"/>
          <w:i w:val="0"/>
          <w:sz w:val="20"/>
        </w:rPr>
        <w:t>Available quality control is limited to functional evidence retained from the project. Table 2 separates supported observations from unavailable measurements so that qualitative demonstration is not confused with validation.</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71"/>
        <w:gridCol w:w="3271"/>
        <w:gridCol w:w="3271"/>
      </w:tblGrid>
      <w:tr>
        <w:trPr>
          <w:tblHeader w:val="true"/>
        </w:trPr>
        <w:tc>
          <w:tcPr>
            <w:tcW w:type="dxa" w:w="3271"/>
            <w:shd w:fill="D8EAF6"/>
            <w:vAlign w:val="center"/>
          </w:tcPr>
          <w:p>
            <w:pPr>
              <w:spacing w:after="0"/>
              <w:jc w:val="left"/>
            </w:pPr>
            <w:r/>
            <w:r>
              <w:rPr>
                <w:rFonts w:ascii="Times New Roman" w:hAnsi="Times New Roman"/>
                <w:b/>
                <w:sz w:val="17"/>
              </w:rPr>
              <w:t>Function</w:t>
            </w:r>
          </w:p>
        </w:tc>
        <w:tc>
          <w:tcPr>
            <w:tcW w:type="dxa" w:w="3271"/>
            <w:shd w:fill="D8EAF6"/>
            <w:vAlign w:val="center"/>
          </w:tcPr>
          <w:p>
            <w:pPr>
              <w:spacing w:after="0"/>
              <w:jc w:val="left"/>
            </w:pPr>
            <w:r/>
            <w:r>
              <w:rPr>
                <w:rFonts w:ascii="Times New Roman" w:hAnsi="Times New Roman"/>
                <w:b/>
                <w:sz w:val="17"/>
              </w:rPr>
              <w:t>Evidence available</w:t>
            </w:r>
          </w:p>
        </w:tc>
        <w:tc>
          <w:tcPr>
            <w:tcW w:type="dxa" w:w="3271"/>
            <w:shd w:fill="D8EAF6"/>
            <w:vAlign w:val="center"/>
          </w:tcPr>
          <w:p>
            <w:pPr>
              <w:spacing w:after="0"/>
              <w:jc w:val="left"/>
            </w:pPr>
            <w:r/>
            <w:r>
              <w:rPr>
                <w:rFonts w:ascii="Times New Roman" w:hAnsi="Times New Roman"/>
                <w:b/>
                <w:sz w:val="17"/>
              </w:rPr>
              <w:t>Conclusion</w:t>
            </w:r>
          </w:p>
        </w:tc>
      </w:tr>
      <w:tr>
        <w:trPr>
          <w:cantSplit/>
        </w:trPr>
        <w:tc>
          <w:tcPr>
            <w:tcW w:type="dxa" w:w="3271"/>
            <w:vAlign w:val="center"/>
          </w:tcPr>
          <w:p>
            <w:pPr>
              <w:spacing w:after="0"/>
              <w:jc w:val="left"/>
            </w:pPr>
            <w:r/>
            <w:r>
              <w:rPr>
                <w:rFonts w:ascii="Times New Roman" w:hAnsi="Times New Roman"/>
                <w:b w:val="0"/>
                <w:sz w:val="16"/>
              </w:rPr>
              <w:t>Physical integration</w:t>
            </w:r>
          </w:p>
        </w:tc>
        <w:tc>
          <w:tcPr>
            <w:tcW w:type="dxa" w:w="3271"/>
            <w:vAlign w:val="center"/>
          </w:tcPr>
          <w:p>
            <w:pPr>
              <w:spacing w:after="0"/>
              <w:jc w:val="left"/>
            </w:pPr>
            <w:r/>
            <w:r>
              <w:rPr>
                <w:rFonts w:ascii="Times New Roman" w:hAnsi="Times New Roman"/>
                <w:b w:val="0"/>
                <w:sz w:val="16"/>
              </w:rPr>
              <w:t>Prototype and module photographs</w:t>
            </w:r>
          </w:p>
        </w:tc>
        <w:tc>
          <w:tcPr>
            <w:tcW w:type="dxa" w:w="3271"/>
            <w:vAlign w:val="center"/>
          </w:tcPr>
          <w:p>
            <w:pPr>
              <w:spacing w:after="0"/>
              <w:jc w:val="left"/>
            </w:pPr>
            <w:r/>
            <w:r>
              <w:rPr>
                <w:rFonts w:ascii="Times New Roman" w:hAnsi="Times New Roman"/>
                <w:b w:val="0"/>
                <w:sz w:val="16"/>
              </w:rPr>
              <w:t>One breadboard proof-of-concept was assembled.</w:t>
            </w:r>
          </w:p>
        </w:tc>
      </w:tr>
      <w:tr>
        <w:trPr>
          <w:cantSplit/>
        </w:trPr>
        <w:tc>
          <w:tcPr>
            <w:tcW w:type="dxa" w:w="3271"/>
            <w:vAlign w:val="center"/>
          </w:tcPr>
          <w:p>
            <w:pPr>
              <w:spacing w:after="0"/>
              <w:jc w:val="left"/>
            </w:pPr>
            <w:r/>
            <w:r>
              <w:rPr>
                <w:rFonts w:ascii="Times New Roman" w:hAnsi="Times New Roman"/>
                <w:b w:val="0"/>
                <w:sz w:val="16"/>
              </w:rPr>
              <w:t>OLED output</w:t>
            </w:r>
          </w:p>
        </w:tc>
        <w:tc>
          <w:tcPr>
            <w:tcW w:type="dxa" w:w="3271"/>
            <w:vAlign w:val="center"/>
          </w:tcPr>
          <w:p>
            <w:pPr>
              <w:spacing w:after="0"/>
              <w:jc w:val="left"/>
            </w:pPr>
            <w:r/>
            <w:r>
              <w:rPr>
                <w:rFonts w:ascii="Times New Roman" w:hAnsi="Times New Roman"/>
                <w:b w:val="0"/>
                <w:sz w:val="16"/>
              </w:rPr>
              <w:t>Time, status and waveform photographs</w:t>
            </w:r>
          </w:p>
        </w:tc>
        <w:tc>
          <w:tcPr>
            <w:tcW w:type="dxa" w:w="3271"/>
            <w:vAlign w:val="center"/>
          </w:tcPr>
          <w:p>
            <w:pPr>
              <w:spacing w:after="0"/>
              <w:jc w:val="left"/>
            </w:pPr>
            <w:r/>
            <w:r>
              <w:rPr>
                <w:rFonts w:ascii="Times New Roman" w:hAnsi="Times New Roman"/>
                <w:b w:val="0"/>
                <w:sz w:val="16"/>
              </w:rPr>
              <w:t>Local display operation demonstrated qualitatively.</w:t>
            </w:r>
          </w:p>
        </w:tc>
      </w:tr>
      <w:tr>
        <w:trPr>
          <w:cantSplit/>
        </w:trPr>
        <w:tc>
          <w:tcPr>
            <w:tcW w:type="dxa" w:w="3271"/>
            <w:vAlign w:val="center"/>
          </w:tcPr>
          <w:p>
            <w:pPr>
              <w:spacing w:after="0"/>
              <w:jc w:val="left"/>
            </w:pPr>
            <w:r/>
            <w:r>
              <w:rPr>
                <w:rFonts w:ascii="Times New Roman" w:hAnsi="Times New Roman"/>
                <w:b w:val="0"/>
                <w:sz w:val="16"/>
              </w:rPr>
              <w:t>Serial output</w:t>
            </w:r>
          </w:p>
        </w:tc>
        <w:tc>
          <w:tcPr>
            <w:tcW w:type="dxa" w:w="3271"/>
            <w:vAlign w:val="center"/>
          </w:tcPr>
          <w:p>
            <w:pPr>
              <w:spacing w:after="0"/>
              <w:jc w:val="left"/>
            </w:pPr>
            <w:r/>
            <w:r>
              <w:rPr>
                <w:rFonts w:ascii="Times New Roman" w:hAnsi="Times New Roman"/>
                <w:b w:val="0"/>
                <w:sz w:val="16"/>
              </w:rPr>
              <w:t>Serial-plotter screenshots</w:t>
            </w:r>
          </w:p>
        </w:tc>
        <w:tc>
          <w:tcPr>
            <w:tcW w:type="dxa" w:w="3271"/>
            <w:vAlign w:val="center"/>
          </w:tcPr>
          <w:p>
            <w:pPr>
              <w:spacing w:after="0"/>
              <w:jc w:val="left"/>
            </w:pPr>
            <w:r/>
            <w:r>
              <w:rPr>
                <w:rFonts w:ascii="Times New Roman" w:hAnsi="Times New Roman"/>
                <w:b w:val="0"/>
                <w:sz w:val="16"/>
              </w:rPr>
              <w:t>Analogue signal streaming demonstrated qualitatively.</w:t>
            </w:r>
          </w:p>
        </w:tc>
      </w:tr>
      <w:tr>
        <w:trPr>
          <w:cantSplit/>
        </w:trPr>
        <w:tc>
          <w:tcPr>
            <w:tcW w:type="dxa" w:w="3271"/>
            <w:vAlign w:val="center"/>
          </w:tcPr>
          <w:p>
            <w:pPr>
              <w:spacing w:after="0"/>
              <w:jc w:val="left"/>
            </w:pPr>
            <w:r/>
            <w:r>
              <w:rPr>
                <w:rFonts w:ascii="Times New Roman" w:hAnsi="Times New Roman"/>
                <w:b w:val="0"/>
                <w:sz w:val="16"/>
              </w:rPr>
              <w:t>Lead status</w:t>
            </w:r>
          </w:p>
        </w:tc>
        <w:tc>
          <w:tcPr>
            <w:tcW w:type="dxa" w:w="3271"/>
            <w:vAlign w:val="center"/>
          </w:tcPr>
          <w:p>
            <w:pPr>
              <w:spacing w:after="0"/>
              <w:jc w:val="left"/>
            </w:pPr>
            <w:r/>
            <w:r>
              <w:rPr>
                <w:rFonts w:ascii="Times New Roman" w:hAnsi="Times New Roman"/>
                <w:b w:val="0"/>
                <w:sz w:val="16"/>
              </w:rPr>
              <w:t>Displayed status and documented LO pins</w:t>
            </w:r>
          </w:p>
        </w:tc>
        <w:tc>
          <w:tcPr>
            <w:tcW w:type="dxa" w:w="3271"/>
            <w:vAlign w:val="center"/>
          </w:tcPr>
          <w:p>
            <w:pPr>
              <w:spacing w:after="0"/>
              <w:jc w:val="left"/>
            </w:pPr>
            <w:r/>
            <w:r>
              <w:rPr>
                <w:rFonts w:ascii="Times New Roman" w:hAnsi="Times New Roman"/>
                <w:b w:val="0"/>
                <w:sz w:val="16"/>
              </w:rPr>
              <w:t>Interface present; response time not quantified.</w:t>
            </w:r>
          </w:p>
        </w:tc>
      </w:tr>
      <w:tr>
        <w:trPr>
          <w:cantSplit/>
        </w:trPr>
        <w:tc>
          <w:tcPr>
            <w:tcW w:type="dxa" w:w="3271"/>
            <w:vAlign w:val="center"/>
          </w:tcPr>
          <w:p>
            <w:pPr>
              <w:spacing w:after="0"/>
              <w:jc w:val="left"/>
            </w:pPr>
            <w:r/>
            <w:r>
              <w:rPr>
                <w:rFonts w:ascii="Times New Roman" w:hAnsi="Times New Roman"/>
                <w:b w:val="0"/>
                <w:sz w:val="16"/>
              </w:rPr>
              <w:t>RTC</w:t>
            </w:r>
          </w:p>
        </w:tc>
        <w:tc>
          <w:tcPr>
            <w:tcW w:type="dxa" w:w="3271"/>
            <w:vAlign w:val="center"/>
          </w:tcPr>
          <w:p>
            <w:pPr>
              <w:spacing w:after="0"/>
              <w:jc w:val="left"/>
            </w:pPr>
            <w:r/>
            <w:r>
              <w:rPr>
                <w:rFonts w:ascii="Times New Roman" w:hAnsi="Times New Roman"/>
                <w:b w:val="0"/>
                <w:sz w:val="16"/>
              </w:rPr>
              <w:t>Time field and DS3231 module</w:t>
            </w:r>
          </w:p>
        </w:tc>
        <w:tc>
          <w:tcPr>
            <w:tcW w:type="dxa" w:w="3271"/>
            <w:vAlign w:val="center"/>
          </w:tcPr>
          <w:p>
            <w:pPr>
              <w:spacing w:after="0"/>
              <w:jc w:val="left"/>
            </w:pPr>
            <w:r/>
            <w:r>
              <w:rPr>
                <w:rFonts w:ascii="Times New Roman" w:hAnsi="Times New Roman"/>
                <w:b w:val="0"/>
                <w:sz w:val="16"/>
              </w:rPr>
              <w:t>Timestamp pathway present; timing accuracy not measured.</w:t>
            </w:r>
          </w:p>
        </w:tc>
      </w:tr>
      <w:tr>
        <w:trPr>
          <w:cantSplit/>
        </w:trPr>
        <w:tc>
          <w:tcPr>
            <w:tcW w:type="dxa" w:w="3271"/>
            <w:vAlign w:val="center"/>
          </w:tcPr>
          <w:p>
            <w:pPr>
              <w:spacing w:after="0"/>
              <w:jc w:val="left"/>
            </w:pPr>
            <w:r/>
            <w:r>
              <w:rPr>
                <w:rFonts w:ascii="Times New Roman" w:hAnsi="Times New Roman"/>
                <w:b w:val="0"/>
                <w:sz w:val="16"/>
              </w:rPr>
              <w:t>microSD</w:t>
            </w:r>
          </w:p>
        </w:tc>
        <w:tc>
          <w:tcPr>
            <w:tcW w:type="dxa" w:w="3271"/>
            <w:vAlign w:val="center"/>
          </w:tcPr>
          <w:p>
            <w:pPr>
              <w:spacing w:after="0"/>
              <w:jc w:val="left"/>
            </w:pPr>
            <w:r/>
            <w:r>
              <w:rPr>
                <w:rFonts w:ascii="Times New Roman" w:hAnsi="Times New Roman"/>
                <w:b w:val="0"/>
                <w:sz w:val="16"/>
              </w:rPr>
              <w:t>Module, wiring and reference firmware</w:t>
            </w:r>
          </w:p>
        </w:tc>
        <w:tc>
          <w:tcPr>
            <w:tcW w:type="dxa" w:w="3271"/>
            <w:vAlign w:val="center"/>
          </w:tcPr>
          <w:p>
            <w:pPr>
              <w:spacing w:after="0"/>
              <w:jc w:val="left"/>
            </w:pPr>
            <w:r/>
            <w:r>
              <w:rPr>
                <w:rFonts w:ascii="Times New Roman" w:hAnsi="Times New Roman"/>
                <w:b w:val="0"/>
                <w:sz w:val="16"/>
              </w:rPr>
              <w:t>Long-duration reliability and write-success rate not retained.</w:t>
            </w:r>
          </w:p>
        </w:tc>
      </w:tr>
      <w:tr>
        <w:trPr>
          <w:cantSplit/>
        </w:trPr>
        <w:tc>
          <w:tcPr>
            <w:tcW w:type="dxa" w:w="3271"/>
            <w:vAlign w:val="center"/>
          </w:tcPr>
          <w:p>
            <w:pPr>
              <w:spacing w:after="0"/>
              <w:jc w:val="left"/>
            </w:pPr>
            <w:r/>
            <w:r>
              <w:rPr>
                <w:rFonts w:ascii="Times New Roman" w:hAnsi="Times New Roman"/>
                <w:b w:val="0"/>
                <w:sz w:val="16"/>
              </w:rPr>
              <w:t>Power/solar</w:t>
            </w:r>
          </w:p>
        </w:tc>
        <w:tc>
          <w:tcPr>
            <w:tcW w:type="dxa" w:w="3271"/>
            <w:vAlign w:val="center"/>
          </w:tcPr>
          <w:p>
            <w:pPr>
              <w:spacing w:after="0"/>
              <w:jc w:val="left"/>
            </w:pPr>
            <w:r/>
            <w:r>
              <w:rPr>
                <w:rFonts w:ascii="Times New Roman" w:hAnsi="Times New Roman"/>
                <w:b w:val="0"/>
                <w:sz w:val="16"/>
              </w:rPr>
              <w:t>Hardware photographs</w:t>
            </w:r>
          </w:p>
        </w:tc>
        <w:tc>
          <w:tcPr>
            <w:tcW w:type="dxa" w:w="3271"/>
            <w:vAlign w:val="center"/>
          </w:tcPr>
          <w:p>
            <w:pPr>
              <w:spacing w:after="0"/>
              <w:jc w:val="left"/>
            </w:pPr>
            <w:r/>
            <w:r>
              <w:rPr>
                <w:rFonts w:ascii="Times New Roman" w:hAnsi="Times New Roman"/>
                <w:b w:val="0"/>
                <w:sz w:val="16"/>
              </w:rPr>
              <w:t>Integration shown; runtime and charging performance not evaluated.</w:t>
            </w:r>
          </w:p>
        </w:tc>
      </w:tr>
      <w:tr>
        <w:trPr>
          <w:cantSplit/>
        </w:trPr>
        <w:tc>
          <w:tcPr>
            <w:tcW w:type="dxa" w:w="3271"/>
            <w:vAlign w:val="center"/>
          </w:tcPr>
          <w:p>
            <w:pPr>
              <w:spacing w:after="0"/>
              <w:jc w:val="left"/>
            </w:pPr>
            <w:r/>
            <w:r>
              <w:rPr>
                <w:rFonts w:ascii="Times New Roman" w:hAnsi="Times New Roman"/>
                <w:b w:val="0"/>
                <w:sz w:val="16"/>
              </w:rPr>
              <w:t>Clinical accuracy</w:t>
            </w:r>
          </w:p>
        </w:tc>
        <w:tc>
          <w:tcPr>
            <w:tcW w:type="dxa" w:w="3271"/>
            <w:vAlign w:val="center"/>
          </w:tcPr>
          <w:p>
            <w:pPr>
              <w:spacing w:after="0"/>
              <w:jc w:val="left"/>
            </w:pPr>
            <w:r/>
            <w:r>
              <w:rPr>
                <w:rFonts w:ascii="Times New Roman" w:hAnsi="Times New Roman"/>
                <w:b w:val="0"/>
                <w:sz w:val="16"/>
              </w:rPr>
              <w:t>No reference ECG comparison</w:t>
            </w:r>
          </w:p>
        </w:tc>
        <w:tc>
          <w:tcPr>
            <w:tcW w:type="dxa" w:w="3271"/>
            <w:vAlign w:val="center"/>
          </w:tcPr>
          <w:p>
            <w:pPr>
              <w:spacing w:after="0"/>
              <w:jc w:val="left"/>
            </w:pPr>
            <w:r/>
            <w:r>
              <w:rPr>
                <w:rFonts w:ascii="Times New Roman" w:hAnsi="Times New Roman"/>
                <w:b w:val="0"/>
                <w:sz w:val="16"/>
              </w:rPr>
              <w:t>Not claimed.</w:t>
            </w:r>
          </w:p>
        </w:tc>
      </w:tr>
    </w:tbl>
    <w:p/>
    <w:p>
      <w:pPr>
        <w:spacing w:after="120"/>
        <w:jc w:val="both"/>
      </w:pPr>
      <w:r>
        <w:rPr>
          <w:rFonts w:ascii="Times New Roman" w:hAnsi="Times New Roman"/>
          <w:b w:val="0"/>
          <w:i/>
          <w:sz w:val="18"/>
        </w:rPr>
        <w:t>Table 2: Evidence boundary for the original educational prototype.</w:t>
      </w:r>
    </w:p>
    <w:p>
      <w:pPr>
        <w:keepNext/>
        <w:jc w:val="center"/>
      </w:pPr>
      <w:r>
        <w:drawing>
          <wp:inline xmlns:a="http://schemas.openxmlformats.org/drawingml/2006/main" xmlns:pic="http://schemas.openxmlformats.org/drawingml/2006/picture">
            <wp:extent cx="4709160" cy="8076209"/>
            <wp:docPr id="4" name="Picture 4"/>
            <wp:cNvGraphicFramePr>
              <a:graphicFrameLocks noChangeAspect="1"/>
            </wp:cNvGraphicFramePr>
            <a:graphic>
              <a:graphicData uri="http://schemas.openxmlformats.org/drawingml/2006/picture">
                <pic:pic>
                  <pic:nvPicPr>
                    <pic:cNvPr id="0" name="figure_functional_evidence.png"/>
                    <pic:cNvPicPr/>
                  </pic:nvPicPr>
                  <pic:blipFill>
                    <a:blip r:embed="rId22"/>
                    <a:stretch>
                      <a:fillRect/>
                    </a:stretch>
                  </pic:blipFill>
                  <pic:spPr>
                    <a:xfrm>
                      <a:off x="0" y="0"/>
                      <a:ext cx="4709160" cy="8076209"/>
                    </a:xfrm>
                    <a:prstGeom prst="rect"/>
                  </pic:spPr>
                </pic:pic>
              </a:graphicData>
            </a:graphic>
          </wp:inline>
        </w:drawing>
      </w:r>
    </w:p>
    <w:p>
      <w:pPr>
        <w:spacing w:after="120"/>
        <w:jc w:val="both"/>
      </w:pPr>
      <w:r>
        <w:rPr>
          <w:rFonts w:ascii="Times New Roman" w:hAnsi="Times New Roman"/>
          <w:b w:val="0"/>
          <w:i/>
          <w:sz w:val="18"/>
        </w:rPr>
        <w:t>Figure 4: Retained OLED and serial-plotter evidence. These images support functional demonstration only; no diagnostic interpretation is made.</w:t>
      </w:r>
    </w:p>
    <w:p>
      <w:pPr>
        <w:pStyle w:val="Heading2"/>
        <w:keepNext/>
        <w:spacing w:before="80" w:after="60"/>
      </w:pPr>
      <w:r>
        <w:rPr>
          <w:rFonts w:ascii="Times New Roman" w:hAnsi="Times New Roman"/>
          <w:b/>
          <w:i w:val="0"/>
          <w:sz w:val="24"/>
        </w:rPr>
        <w:t>Reproducibility</w:t>
      </w:r>
    </w:p>
    <w:p>
      <w:pPr>
        <w:spacing w:after="80" w:before="0" w:line="247" w:lineRule="auto"/>
        <w:jc w:val="both"/>
      </w:pPr>
      <w:r>
        <w:rPr>
          <w:rFonts w:ascii="Times New Roman" w:hAnsi="Times New Roman"/>
          <w:b w:val="0"/>
          <w:i w:val="0"/>
          <w:sz w:val="20"/>
        </w:rPr>
        <w:t>One original build was completed by the student project developer. No independent build was documented. Rather than claiming replication, the release provides the materials needed for a future independent build: editable wiring, pin map, reference firmware, BOM, assembly guide, known limitations, safety controls and test protocol. Known failure points include transposed GPIO connections, missing common ground, incompatible microSD voltage levels, loose breadboard contacts, lead-off noise and file interruption during power loss.</w:t>
      </w:r>
    </w:p>
    <w:p>
      <w:pPr>
        <w:pStyle w:val="Heading1"/>
        <w:keepNext/>
        <w:spacing w:before="140" w:after="60"/>
      </w:pPr>
      <w:r>
        <w:rPr>
          <w:rFonts w:ascii="Times New Roman" w:hAnsi="Times New Roman"/>
          <w:b/>
          <w:i w:val="0"/>
          <w:sz w:val="30"/>
        </w:rPr>
        <w:t>(3) Application</w:t>
      </w:r>
    </w:p>
    <w:p>
      <w:pPr>
        <w:pStyle w:val="Heading2"/>
        <w:keepNext/>
        <w:spacing w:before="80" w:after="60"/>
      </w:pPr>
      <w:r>
        <w:rPr>
          <w:rFonts w:ascii="Times New Roman" w:hAnsi="Times New Roman"/>
          <w:b/>
          <w:i w:val="0"/>
          <w:sz w:val="24"/>
        </w:rPr>
        <w:t>Use case(s)</w:t>
      </w:r>
    </w:p>
    <w:p>
      <w:pPr>
        <w:pStyle w:val="Heading3"/>
        <w:keepNext/>
        <w:spacing w:before="80" w:after="60"/>
      </w:pPr>
      <w:r>
        <w:rPr>
          <w:rFonts w:ascii="Times New Roman" w:hAnsi="Times New Roman"/>
          <w:b w:val="0"/>
          <w:i w:val="0"/>
          <w:sz w:val="21"/>
        </w:rPr>
        <w:t>Biomedical instrumentation teaching</w:t>
      </w:r>
    </w:p>
    <w:p>
      <w:pPr>
        <w:spacing w:after="80" w:before="0" w:line="247" w:lineRule="auto"/>
        <w:jc w:val="both"/>
      </w:pPr>
      <w:r>
        <w:rPr>
          <w:rFonts w:ascii="Times New Roman" w:hAnsi="Times New Roman"/>
          <w:b w:val="0"/>
          <w:i w:val="0"/>
          <w:sz w:val="20"/>
        </w:rPr>
        <w:t>A supervised laboratory session can use the platform to identify the ECG signal chain, verify I²C and SPI buses, observe lead-off status, inspect raw ADC values, examine the CSV structure, distinguish software configuration from measured performance, and discuss the responsibilities attached to electrode-connected hardware.</w:t>
      </w:r>
    </w:p>
    <w:p>
      <w:pPr>
        <w:pStyle w:val="Heading3"/>
        <w:keepNext/>
        <w:spacing w:before="80" w:after="60"/>
      </w:pPr>
      <w:r>
        <w:rPr>
          <w:rFonts w:ascii="Times New Roman" w:hAnsi="Times New Roman"/>
          <w:b w:val="0"/>
          <w:i w:val="0"/>
          <w:sz w:val="21"/>
        </w:rPr>
        <w:t>Embedded systems and open-hardware teaching</w:t>
      </w:r>
    </w:p>
    <w:p>
      <w:pPr>
        <w:spacing w:after="80" w:before="0" w:line="247" w:lineRule="auto"/>
        <w:jc w:val="both"/>
      </w:pPr>
      <w:r>
        <w:rPr>
          <w:rFonts w:ascii="Times New Roman" w:hAnsi="Times New Roman"/>
          <w:b w:val="0"/>
          <w:i w:val="0"/>
          <w:sz w:val="20"/>
        </w:rPr>
        <w:t>Students can modify display refresh, storage buffering and status logic, compare qualitative outputs with simulator settings, calculate an energy budget, and practise version control, licensing and reproducible documentation. Clinical diagnosis, treatment, patient monitoring and unsupervised human use are outside the intended application.</w:t>
      </w:r>
    </w:p>
    <w:p>
      <w:pPr>
        <w:pStyle w:val="Heading1"/>
        <w:keepNext/>
        <w:spacing w:before="140" w:after="60"/>
      </w:pPr>
      <w:r>
        <w:rPr>
          <w:rFonts w:ascii="Times New Roman" w:hAnsi="Times New Roman"/>
          <w:b/>
          <w:i w:val="0"/>
          <w:sz w:val="30"/>
        </w:rPr>
        <w:t>(4) Build Details</w:t>
      </w:r>
    </w:p>
    <w:p>
      <w:pPr>
        <w:pStyle w:val="Heading2"/>
        <w:keepNext/>
        <w:spacing w:before="80" w:after="60"/>
      </w:pPr>
      <w:r>
        <w:rPr>
          <w:rFonts w:ascii="Times New Roman" w:hAnsi="Times New Roman"/>
          <w:b/>
          <w:i w:val="0"/>
          <w:sz w:val="24"/>
        </w:rPr>
        <w:t>Availability of materials and methods</w:t>
      </w:r>
    </w:p>
    <w:p>
      <w:pPr>
        <w:spacing w:after="80" w:before="0" w:line="247" w:lineRule="auto"/>
        <w:jc w:val="both"/>
      </w:pPr>
      <w:r>
        <w:rPr>
          <w:rFonts w:ascii="Times New Roman" w:hAnsi="Times New Roman"/>
          <w:b w:val="0"/>
          <w:i w:val="0"/>
          <w:sz w:val="20"/>
        </w:rPr>
        <w:t>The core build uses commercially available development modules and requires no specialist manufacturing. The repository BOM separates components observed in the original prototype from the safety-oriented recommendation for a protected low-voltage power source. Exact original supplier and purchase-price records were unavailable and are not invented.</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71"/>
        <w:gridCol w:w="3271"/>
        <w:gridCol w:w="3271"/>
      </w:tblGrid>
      <w:tr>
        <w:trPr>
          <w:tblHeader w:val="true"/>
        </w:trPr>
        <w:tc>
          <w:tcPr>
            <w:tcW w:type="dxa" w:w="3271"/>
            <w:shd w:fill="D8EAF6"/>
            <w:vAlign w:val="center"/>
          </w:tcPr>
          <w:p>
            <w:pPr>
              <w:spacing w:after="0"/>
              <w:jc w:val="left"/>
            </w:pPr>
            <w:r/>
            <w:r>
              <w:rPr>
                <w:rFonts w:ascii="Times New Roman" w:hAnsi="Times New Roman"/>
                <w:b/>
                <w:sz w:val="17"/>
              </w:rPr>
              <w:t>Component</w:t>
            </w:r>
          </w:p>
        </w:tc>
        <w:tc>
          <w:tcPr>
            <w:tcW w:type="dxa" w:w="3271"/>
            <w:shd w:fill="D8EAF6"/>
            <w:vAlign w:val="center"/>
          </w:tcPr>
          <w:p>
            <w:pPr>
              <w:spacing w:after="0"/>
              <w:jc w:val="left"/>
            </w:pPr>
            <w:r/>
            <w:r>
              <w:rPr>
                <w:rFonts w:ascii="Times New Roman" w:hAnsi="Times New Roman"/>
                <w:b/>
                <w:sz w:val="17"/>
              </w:rPr>
              <w:t>Quantity</w:t>
            </w:r>
          </w:p>
        </w:tc>
        <w:tc>
          <w:tcPr>
            <w:tcW w:type="dxa" w:w="3271"/>
            <w:shd w:fill="D8EAF6"/>
            <w:vAlign w:val="center"/>
          </w:tcPr>
          <w:p>
            <w:pPr>
              <w:spacing w:after="0"/>
              <w:jc w:val="left"/>
            </w:pPr>
            <w:r/>
            <w:r>
              <w:rPr>
                <w:rFonts w:ascii="Times New Roman" w:hAnsi="Times New Roman"/>
                <w:b/>
                <w:sz w:val="17"/>
              </w:rPr>
              <w:t>Role</w:t>
            </w:r>
          </w:p>
        </w:tc>
      </w:tr>
      <w:tr>
        <w:trPr>
          <w:cantSplit/>
        </w:trPr>
        <w:tc>
          <w:tcPr>
            <w:tcW w:type="dxa" w:w="3271"/>
            <w:vAlign w:val="center"/>
          </w:tcPr>
          <w:p>
            <w:pPr>
              <w:spacing w:after="0"/>
              <w:jc w:val="left"/>
            </w:pPr>
            <w:r/>
            <w:r>
              <w:rPr>
                <w:rFonts w:ascii="Times New Roman" w:hAnsi="Times New Roman"/>
                <w:b w:val="0"/>
                <w:sz w:val="16"/>
              </w:rPr>
              <w:t>ESP32-C3 development board</w:t>
            </w:r>
          </w:p>
        </w:tc>
        <w:tc>
          <w:tcPr>
            <w:tcW w:type="dxa" w:w="3271"/>
            <w:vAlign w:val="center"/>
          </w:tcPr>
          <w:p>
            <w:pPr>
              <w:spacing w:after="0"/>
              <w:jc w:val="left"/>
            </w:pPr>
            <w:r/>
            <w:r>
              <w:rPr>
                <w:rFonts w:ascii="Times New Roman" w:hAnsi="Times New Roman"/>
                <w:b w:val="0"/>
                <w:sz w:val="16"/>
              </w:rPr>
              <w:t>1</w:t>
            </w:r>
          </w:p>
        </w:tc>
        <w:tc>
          <w:tcPr>
            <w:tcW w:type="dxa" w:w="3271"/>
            <w:vAlign w:val="center"/>
          </w:tcPr>
          <w:p>
            <w:pPr>
              <w:spacing w:after="0"/>
              <w:jc w:val="left"/>
            </w:pPr>
            <w:r/>
            <w:r>
              <w:rPr>
                <w:rFonts w:ascii="Times New Roman" w:hAnsi="Times New Roman"/>
                <w:b w:val="0"/>
                <w:sz w:val="16"/>
              </w:rPr>
              <w:t>Controller and ADC</w:t>
            </w:r>
          </w:p>
        </w:tc>
      </w:tr>
      <w:tr>
        <w:trPr>
          <w:cantSplit/>
        </w:trPr>
        <w:tc>
          <w:tcPr>
            <w:tcW w:type="dxa" w:w="3271"/>
            <w:vAlign w:val="center"/>
          </w:tcPr>
          <w:p>
            <w:pPr>
              <w:spacing w:after="0"/>
              <w:jc w:val="left"/>
            </w:pPr>
            <w:r/>
            <w:r>
              <w:rPr>
                <w:rFonts w:ascii="Times New Roman" w:hAnsi="Times New Roman"/>
                <w:b w:val="0"/>
                <w:sz w:val="16"/>
              </w:rPr>
              <w:t>AD8232 module</w:t>
            </w:r>
          </w:p>
        </w:tc>
        <w:tc>
          <w:tcPr>
            <w:tcW w:type="dxa" w:w="3271"/>
            <w:vAlign w:val="center"/>
          </w:tcPr>
          <w:p>
            <w:pPr>
              <w:spacing w:after="0"/>
              <w:jc w:val="left"/>
            </w:pPr>
            <w:r/>
            <w:r>
              <w:rPr>
                <w:rFonts w:ascii="Times New Roman" w:hAnsi="Times New Roman"/>
                <w:b w:val="0"/>
                <w:sz w:val="16"/>
              </w:rPr>
              <w:t>1</w:t>
            </w:r>
          </w:p>
        </w:tc>
        <w:tc>
          <w:tcPr>
            <w:tcW w:type="dxa" w:w="3271"/>
            <w:vAlign w:val="center"/>
          </w:tcPr>
          <w:p>
            <w:pPr>
              <w:spacing w:after="0"/>
              <w:jc w:val="left"/>
            </w:pPr>
            <w:r/>
            <w:r>
              <w:rPr>
                <w:rFonts w:ascii="Times New Roman" w:hAnsi="Times New Roman"/>
                <w:b w:val="0"/>
                <w:sz w:val="16"/>
              </w:rPr>
              <w:t>Single-lead analogue front end</w:t>
            </w:r>
          </w:p>
        </w:tc>
      </w:tr>
      <w:tr>
        <w:trPr>
          <w:cantSplit/>
        </w:trPr>
        <w:tc>
          <w:tcPr>
            <w:tcW w:type="dxa" w:w="3271"/>
            <w:vAlign w:val="center"/>
          </w:tcPr>
          <w:p>
            <w:pPr>
              <w:spacing w:after="0"/>
              <w:jc w:val="left"/>
            </w:pPr>
            <w:r/>
            <w:r>
              <w:rPr>
                <w:rFonts w:ascii="Times New Roman" w:hAnsi="Times New Roman"/>
                <w:b w:val="0"/>
                <w:sz w:val="16"/>
              </w:rPr>
              <w:t>SSD1306 OLED</w:t>
            </w:r>
          </w:p>
        </w:tc>
        <w:tc>
          <w:tcPr>
            <w:tcW w:type="dxa" w:w="3271"/>
            <w:vAlign w:val="center"/>
          </w:tcPr>
          <w:p>
            <w:pPr>
              <w:spacing w:after="0"/>
              <w:jc w:val="left"/>
            </w:pPr>
            <w:r/>
            <w:r>
              <w:rPr>
                <w:rFonts w:ascii="Times New Roman" w:hAnsi="Times New Roman"/>
                <w:b w:val="0"/>
                <w:sz w:val="16"/>
              </w:rPr>
              <w:t>1</w:t>
            </w:r>
          </w:p>
        </w:tc>
        <w:tc>
          <w:tcPr>
            <w:tcW w:type="dxa" w:w="3271"/>
            <w:vAlign w:val="center"/>
          </w:tcPr>
          <w:p>
            <w:pPr>
              <w:spacing w:after="0"/>
              <w:jc w:val="left"/>
            </w:pPr>
            <w:r/>
            <w:r>
              <w:rPr>
                <w:rFonts w:ascii="Times New Roman" w:hAnsi="Times New Roman"/>
                <w:b w:val="0"/>
                <w:sz w:val="16"/>
              </w:rPr>
              <w:t>Local status and waveform display</w:t>
            </w:r>
          </w:p>
        </w:tc>
      </w:tr>
      <w:tr>
        <w:trPr>
          <w:cantSplit/>
        </w:trPr>
        <w:tc>
          <w:tcPr>
            <w:tcW w:type="dxa" w:w="3271"/>
            <w:vAlign w:val="center"/>
          </w:tcPr>
          <w:p>
            <w:pPr>
              <w:spacing w:after="0"/>
              <w:jc w:val="left"/>
            </w:pPr>
            <w:r/>
            <w:r>
              <w:rPr>
                <w:rFonts w:ascii="Times New Roman" w:hAnsi="Times New Roman"/>
                <w:b w:val="0"/>
                <w:sz w:val="16"/>
              </w:rPr>
              <w:t>DS3231 RTC</w:t>
            </w:r>
          </w:p>
        </w:tc>
        <w:tc>
          <w:tcPr>
            <w:tcW w:type="dxa" w:w="3271"/>
            <w:vAlign w:val="center"/>
          </w:tcPr>
          <w:p>
            <w:pPr>
              <w:spacing w:after="0"/>
              <w:jc w:val="left"/>
            </w:pPr>
            <w:r/>
            <w:r>
              <w:rPr>
                <w:rFonts w:ascii="Times New Roman" w:hAnsi="Times New Roman"/>
                <w:b w:val="0"/>
                <w:sz w:val="16"/>
              </w:rPr>
              <w:t>1</w:t>
            </w:r>
          </w:p>
        </w:tc>
        <w:tc>
          <w:tcPr>
            <w:tcW w:type="dxa" w:w="3271"/>
            <w:vAlign w:val="center"/>
          </w:tcPr>
          <w:p>
            <w:pPr>
              <w:spacing w:after="0"/>
              <w:jc w:val="left"/>
            </w:pPr>
            <w:r/>
            <w:r>
              <w:rPr>
                <w:rFonts w:ascii="Times New Roman" w:hAnsi="Times New Roman"/>
                <w:b w:val="0"/>
                <w:sz w:val="16"/>
              </w:rPr>
              <w:t>Time source</w:t>
            </w:r>
          </w:p>
        </w:tc>
      </w:tr>
      <w:tr>
        <w:trPr>
          <w:cantSplit/>
        </w:trPr>
        <w:tc>
          <w:tcPr>
            <w:tcW w:type="dxa" w:w="3271"/>
            <w:vAlign w:val="center"/>
          </w:tcPr>
          <w:p>
            <w:pPr>
              <w:spacing w:after="0"/>
              <w:jc w:val="left"/>
            </w:pPr>
            <w:r/>
            <w:r>
              <w:rPr>
                <w:rFonts w:ascii="Times New Roman" w:hAnsi="Times New Roman"/>
                <w:b w:val="0"/>
                <w:sz w:val="16"/>
              </w:rPr>
              <w:t>microSD module and card</w:t>
            </w:r>
          </w:p>
        </w:tc>
        <w:tc>
          <w:tcPr>
            <w:tcW w:type="dxa" w:w="3271"/>
            <w:vAlign w:val="center"/>
          </w:tcPr>
          <w:p>
            <w:pPr>
              <w:spacing w:after="0"/>
              <w:jc w:val="left"/>
            </w:pPr>
            <w:r/>
            <w:r>
              <w:rPr>
                <w:rFonts w:ascii="Times New Roman" w:hAnsi="Times New Roman"/>
                <w:b w:val="0"/>
                <w:sz w:val="16"/>
              </w:rPr>
              <w:t>1</w:t>
            </w:r>
          </w:p>
        </w:tc>
        <w:tc>
          <w:tcPr>
            <w:tcW w:type="dxa" w:w="3271"/>
            <w:vAlign w:val="center"/>
          </w:tcPr>
          <w:p>
            <w:pPr>
              <w:spacing w:after="0"/>
              <w:jc w:val="left"/>
            </w:pPr>
            <w:r/>
            <w:r>
              <w:rPr>
                <w:rFonts w:ascii="Times New Roman" w:hAnsi="Times New Roman"/>
                <w:b w:val="0"/>
                <w:sz w:val="16"/>
              </w:rPr>
              <w:t>CSV storage</w:t>
            </w:r>
          </w:p>
        </w:tc>
      </w:tr>
      <w:tr>
        <w:trPr>
          <w:cantSplit/>
        </w:trPr>
        <w:tc>
          <w:tcPr>
            <w:tcW w:type="dxa" w:w="3271"/>
            <w:vAlign w:val="center"/>
          </w:tcPr>
          <w:p>
            <w:pPr>
              <w:spacing w:after="0"/>
              <w:jc w:val="left"/>
            </w:pPr>
            <w:r/>
            <w:r>
              <w:rPr>
                <w:rFonts w:ascii="Times New Roman" w:hAnsi="Times New Roman"/>
                <w:b w:val="0"/>
                <w:sz w:val="16"/>
              </w:rPr>
              <w:t>INA219</w:t>
            </w:r>
          </w:p>
        </w:tc>
        <w:tc>
          <w:tcPr>
            <w:tcW w:type="dxa" w:w="3271"/>
            <w:vAlign w:val="center"/>
          </w:tcPr>
          <w:p>
            <w:pPr>
              <w:spacing w:after="0"/>
              <w:jc w:val="left"/>
            </w:pPr>
            <w:r/>
            <w:r>
              <w:rPr>
                <w:rFonts w:ascii="Times New Roman" w:hAnsi="Times New Roman"/>
                <w:b w:val="0"/>
                <w:sz w:val="16"/>
              </w:rPr>
              <w:t>1</w:t>
            </w:r>
          </w:p>
        </w:tc>
        <w:tc>
          <w:tcPr>
            <w:tcW w:type="dxa" w:w="3271"/>
            <w:vAlign w:val="center"/>
          </w:tcPr>
          <w:p>
            <w:pPr>
              <w:spacing w:after="0"/>
              <w:jc w:val="left"/>
            </w:pPr>
            <w:r/>
            <w:r>
              <w:rPr>
                <w:rFonts w:ascii="Times New Roman" w:hAnsi="Times New Roman"/>
                <w:b w:val="0"/>
                <w:sz w:val="16"/>
              </w:rPr>
              <w:t>Power telemetry pathway</w:t>
            </w:r>
          </w:p>
        </w:tc>
      </w:tr>
      <w:tr>
        <w:trPr>
          <w:cantSplit/>
        </w:trPr>
        <w:tc>
          <w:tcPr>
            <w:tcW w:type="dxa" w:w="3271"/>
            <w:vAlign w:val="center"/>
          </w:tcPr>
          <w:p>
            <w:pPr>
              <w:spacing w:after="0"/>
              <w:jc w:val="left"/>
            </w:pPr>
            <w:r/>
            <w:r>
              <w:rPr>
                <w:rFonts w:ascii="Times New Roman" w:hAnsi="Times New Roman"/>
                <w:b w:val="0"/>
                <w:sz w:val="16"/>
              </w:rPr>
              <w:t>TPS63020 module</w:t>
            </w:r>
          </w:p>
        </w:tc>
        <w:tc>
          <w:tcPr>
            <w:tcW w:type="dxa" w:w="3271"/>
            <w:vAlign w:val="center"/>
          </w:tcPr>
          <w:p>
            <w:pPr>
              <w:spacing w:after="0"/>
              <w:jc w:val="left"/>
            </w:pPr>
            <w:r/>
            <w:r>
              <w:rPr>
                <w:rFonts w:ascii="Times New Roman" w:hAnsi="Times New Roman"/>
                <w:b w:val="0"/>
                <w:sz w:val="16"/>
              </w:rPr>
              <w:t>1</w:t>
            </w:r>
          </w:p>
        </w:tc>
        <w:tc>
          <w:tcPr>
            <w:tcW w:type="dxa" w:w="3271"/>
            <w:vAlign w:val="center"/>
          </w:tcPr>
          <w:p>
            <w:pPr>
              <w:spacing w:after="0"/>
              <w:jc w:val="left"/>
            </w:pPr>
            <w:r/>
            <w:r>
              <w:rPr>
                <w:rFonts w:ascii="Times New Roman" w:hAnsi="Times New Roman"/>
                <w:b w:val="0"/>
                <w:sz w:val="16"/>
              </w:rPr>
              <w:t>Buck-boost regulation</w:t>
            </w:r>
          </w:p>
        </w:tc>
      </w:tr>
      <w:tr>
        <w:trPr>
          <w:cantSplit/>
        </w:trPr>
        <w:tc>
          <w:tcPr>
            <w:tcW w:type="dxa" w:w="3271"/>
            <w:vAlign w:val="center"/>
          </w:tcPr>
          <w:p>
            <w:pPr>
              <w:spacing w:after="0"/>
              <w:jc w:val="left"/>
            </w:pPr>
            <w:r/>
            <w:r>
              <w:rPr>
                <w:rFonts w:ascii="Times New Roman" w:hAnsi="Times New Roman"/>
                <w:b w:val="0"/>
                <w:sz w:val="16"/>
              </w:rPr>
              <w:t>Buzzer</w:t>
            </w:r>
          </w:p>
        </w:tc>
        <w:tc>
          <w:tcPr>
            <w:tcW w:type="dxa" w:w="3271"/>
            <w:vAlign w:val="center"/>
          </w:tcPr>
          <w:p>
            <w:pPr>
              <w:spacing w:after="0"/>
              <w:jc w:val="left"/>
            </w:pPr>
            <w:r/>
            <w:r>
              <w:rPr>
                <w:rFonts w:ascii="Times New Roman" w:hAnsi="Times New Roman"/>
                <w:b w:val="0"/>
                <w:sz w:val="16"/>
              </w:rPr>
              <w:t>1</w:t>
            </w:r>
          </w:p>
        </w:tc>
        <w:tc>
          <w:tcPr>
            <w:tcW w:type="dxa" w:w="3271"/>
            <w:vAlign w:val="center"/>
          </w:tcPr>
          <w:p>
            <w:pPr>
              <w:spacing w:after="0"/>
              <w:jc w:val="left"/>
            </w:pPr>
            <w:r/>
            <w:r>
              <w:rPr>
                <w:rFonts w:ascii="Times New Roman" w:hAnsi="Times New Roman"/>
                <w:b w:val="0"/>
                <w:sz w:val="16"/>
              </w:rPr>
              <w:t>Status warning</w:t>
            </w:r>
          </w:p>
        </w:tc>
      </w:tr>
      <w:tr>
        <w:trPr>
          <w:cantSplit/>
        </w:trPr>
        <w:tc>
          <w:tcPr>
            <w:tcW w:type="dxa" w:w="3271"/>
            <w:vAlign w:val="center"/>
          </w:tcPr>
          <w:p>
            <w:pPr>
              <w:spacing w:after="0"/>
              <w:jc w:val="left"/>
            </w:pPr>
            <w:r/>
            <w:r>
              <w:rPr>
                <w:rFonts w:ascii="Times New Roman" w:hAnsi="Times New Roman"/>
                <w:b w:val="0"/>
                <w:sz w:val="16"/>
              </w:rPr>
              <w:t>Electrode cable and pads</w:t>
            </w:r>
          </w:p>
        </w:tc>
        <w:tc>
          <w:tcPr>
            <w:tcW w:type="dxa" w:w="3271"/>
            <w:vAlign w:val="center"/>
          </w:tcPr>
          <w:p>
            <w:pPr>
              <w:spacing w:after="0"/>
              <w:jc w:val="left"/>
            </w:pPr>
            <w:r/>
            <w:r>
              <w:rPr>
                <w:rFonts w:ascii="Times New Roman" w:hAnsi="Times New Roman"/>
                <w:b w:val="0"/>
                <w:sz w:val="16"/>
              </w:rPr>
              <w:t>1 set</w:t>
            </w:r>
          </w:p>
        </w:tc>
        <w:tc>
          <w:tcPr>
            <w:tcW w:type="dxa" w:w="3271"/>
            <w:vAlign w:val="center"/>
          </w:tcPr>
          <w:p>
            <w:pPr>
              <w:spacing w:after="0"/>
              <w:jc w:val="left"/>
            </w:pPr>
            <w:r/>
            <w:r>
              <w:rPr>
                <w:rFonts w:ascii="Times New Roman" w:hAnsi="Times New Roman"/>
                <w:b w:val="0"/>
                <w:sz w:val="16"/>
              </w:rPr>
              <w:t>Single-lead interface</w:t>
            </w:r>
          </w:p>
        </w:tc>
      </w:tr>
      <w:tr>
        <w:trPr>
          <w:cantSplit/>
        </w:trPr>
        <w:tc>
          <w:tcPr>
            <w:tcW w:type="dxa" w:w="3271"/>
            <w:vAlign w:val="center"/>
          </w:tcPr>
          <w:p>
            <w:pPr>
              <w:spacing w:after="0"/>
              <w:jc w:val="left"/>
            </w:pPr>
            <w:r/>
            <w:r>
              <w:rPr>
                <w:rFonts w:ascii="Times New Roman" w:hAnsi="Times New Roman"/>
                <w:b w:val="0"/>
                <w:sz w:val="16"/>
              </w:rPr>
              <w:t>Breadboards and jumpers</w:t>
            </w:r>
          </w:p>
        </w:tc>
        <w:tc>
          <w:tcPr>
            <w:tcW w:type="dxa" w:w="3271"/>
            <w:vAlign w:val="center"/>
          </w:tcPr>
          <w:p>
            <w:pPr>
              <w:spacing w:after="0"/>
              <w:jc w:val="left"/>
            </w:pPr>
            <w:r/>
            <w:r>
              <w:rPr>
                <w:rFonts w:ascii="Times New Roman" w:hAnsi="Times New Roman"/>
                <w:b w:val="0"/>
                <w:sz w:val="16"/>
              </w:rPr>
              <w:t>as required</w:t>
            </w:r>
          </w:p>
        </w:tc>
        <w:tc>
          <w:tcPr>
            <w:tcW w:type="dxa" w:w="3271"/>
            <w:vAlign w:val="center"/>
          </w:tcPr>
          <w:p>
            <w:pPr>
              <w:spacing w:after="0"/>
              <w:jc w:val="left"/>
            </w:pPr>
            <w:r/>
            <w:r>
              <w:rPr>
                <w:rFonts w:ascii="Times New Roman" w:hAnsi="Times New Roman"/>
                <w:b w:val="0"/>
                <w:sz w:val="16"/>
              </w:rPr>
              <w:t>Educational assembly</w:t>
            </w:r>
          </w:p>
        </w:tc>
      </w:tr>
      <w:tr>
        <w:trPr>
          <w:cantSplit/>
        </w:trPr>
        <w:tc>
          <w:tcPr>
            <w:tcW w:type="dxa" w:w="3271"/>
            <w:vAlign w:val="center"/>
          </w:tcPr>
          <w:p>
            <w:pPr>
              <w:spacing w:after="0"/>
              <w:jc w:val="left"/>
            </w:pPr>
            <w:r/>
            <w:r>
              <w:rPr>
                <w:rFonts w:ascii="Times New Roman" w:hAnsi="Times New Roman"/>
                <w:b w:val="0"/>
                <w:sz w:val="16"/>
              </w:rPr>
              <w:t>Protected low-voltage source</w:t>
            </w:r>
          </w:p>
        </w:tc>
        <w:tc>
          <w:tcPr>
            <w:tcW w:type="dxa" w:w="3271"/>
            <w:vAlign w:val="center"/>
          </w:tcPr>
          <w:p>
            <w:pPr>
              <w:spacing w:after="0"/>
              <w:jc w:val="left"/>
            </w:pPr>
            <w:r/>
            <w:r>
              <w:rPr>
                <w:rFonts w:ascii="Times New Roman" w:hAnsi="Times New Roman"/>
                <w:b w:val="0"/>
                <w:sz w:val="16"/>
              </w:rPr>
              <w:t>1</w:t>
            </w:r>
          </w:p>
        </w:tc>
        <w:tc>
          <w:tcPr>
            <w:tcW w:type="dxa" w:w="3271"/>
            <w:vAlign w:val="center"/>
          </w:tcPr>
          <w:p>
            <w:pPr>
              <w:spacing w:after="0"/>
              <w:jc w:val="left"/>
            </w:pPr>
            <w:r/>
            <w:r>
              <w:rPr>
                <w:rFonts w:ascii="Times New Roman" w:hAnsi="Times New Roman"/>
                <w:b w:val="0"/>
                <w:sz w:val="16"/>
              </w:rPr>
              <w:t>Core power</w:t>
            </w:r>
          </w:p>
        </w:tc>
      </w:tr>
      <w:tr>
        <w:trPr>
          <w:cantSplit/>
        </w:trPr>
        <w:tc>
          <w:tcPr>
            <w:tcW w:type="dxa" w:w="3271"/>
            <w:vAlign w:val="center"/>
          </w:tcPr>
          <w:p>
            <w:pPr>
              <w:spacing w:after="0"/>
              <w:jc w:val="left"/>
            </w:pPr>
            <w:r/>
            <w:r>
              <w:rPr>
                <w:rFonts w:ascii="Times New Roman" w:hAnsi="Times New Roman"/>
                <w:b w:val="0"/>
                <w:sz w:val="16"/>
              </w:rPr>
              <w:t>Optional 5 V panel ≥3 W</w:t>
            </w:r>
          </w:p>
        </w:tc>
        <w:tc>
          <w:tcPr>
            <w:tcW w:type="dxa" w:w="3271"/>
            <w:vAlign w:val="center"/>
          </w:tcPr>
          <w:p>
            <w:pPr>
              <w:spacing w:after="0"/>
              <w:jc w:val="left"/>
            </w:pPr>
            <w:r/>
            <w:r>
              <w:rPr>
                <w:rFonts w:ascii="Times New Roman" w:hAnsi="Times New Roman"/>
                <w:b w:val="0"/>
                <w:sz w:val="16"/>
              </w:rPr>
              <w:t>1</w:t>
            </w:r>
          </w:p>
        </w:tc>
        <w:tc>
          <w:tcPr>
            <w:tcW w:type="dxa" w:w="3271"/>
            <w:vAlign w:val="center"/>
          </w:tcPr>
          <w:p>
            <w:pPr>
              <w:spacing w:after="0"/>
              <w:jc w:val="left"/>
            </w:pPr>
            <w:r/>
            <w:r>
              <w:rPr>
                <w:rFonts w:ascii="Times New Roman" w:hAnsi="Times New Roman"/>
                <w:b w:val="0"/>
                <w:sz w:val="16"/>
              </w:rPr>
              <w:t>Solar-design exercise with compatible charger</w:t>
            </w:r>
          </w:p>
        </w:tc>
      </w:tr>
    </w:tbl>
    <w:p/>
    <w:p>
      <w:pPr>
        <w:spacing w:after="120"/>
        <w:jc w:val="both"/>
      </w:pPr>
      <w:r>
        <w:rPr>
          <w:rFonts w:ascii="Times New Roman" w:hAnsi="Times New Roman"/>
          <w:b w:val="0"/>
          <w:i/>
          <w:sz w:val="18"/>
        </w:rPr>
        <w:t>Table 3: Component-level bill of materials. Detailed fields are supplied in the repository.</w:t>
      </w:r>
    </w:p>
    <w:p>
      <w:pPr>
        <w:pStyle w:val="Heading2"/>
        <w:keepNext/>
        <w:spacing w:before="80" w:after="60"/>
      </w:pPr>
      <w:r>
        <w:rPr>
          <w:rFonts w:ascii="Times New Roman" w:hAnsi="Times New Roman"/>
          <w:b/>
          <w:i w:val="0"/>
          <w:sz w:val="24"/>
        </w:rPr>
        <w:t>Ease of build / Design decision</w:t>
      </w:r>
    </w:p>
    <w:p>
      <w:pPr>
        <w:spacing w:after="80" w:before="0" w:line="247" w:lineRule="auto"/>
        <w:jc w:val="both"/>
      </w:pPr>
      <w:r>
        <w:rPr>
          <w:rFonts w:ascii="Times New Roman" w:hAnsi="Times New Roman"/>
          <w:b w:val="0"/>
          <w:i w:val="0"/>
          <w:sz w:val="20"/>
        </w:rPr>
        <w:t>Breakout modules were chosen to minimise fabrication and expose subsystem boundaries. The trade-off is inferior mechanical stability and potentially greater noise compared with a secured PCB. The optional solar extension is not required for the core ECG lesson and should be omitted when the charger, panel or battery compatibility cannot be verified.</w:t>
      </w:r>
    </w:p>
    <w:p>
      <w:pPr>
        <w:pStyle w:val="Heading2"/>
        <w:keepNext/>
        <w:spacing w:before="80" w:after="60"/>
      </w:pPr>
      <w:r>
        <w:rPr>
          <w:rFonts w:ascii="Times New Roman" w:hAnsi="Times New Roman"/>
          <w:b/>
          <w:i w:val="0"/>
          <w:sz w:val="24"/>
        </w:rPr>
        <w:t>Operating software and peripherals</w:t>
      </w:r>
    </w:p>
    <w:p>
      <w:pPr>
        <w:spacing w:after="80" w:before="0" w:line="247" w:lineRule="auto"/>
        <w:jc w:val="both"/>
      </w:pPr>
      <w:r>
        <w:rPr>
          <w:rFonts w:ascii="Times New Roman" w:hAnsi="Times New Roman"/>
          <w:b w:val="0"/>
          <w:i w:val="0"/>
          <w:sz w:val="20"/>
        </w:rPr>
        <w:t>The reference firmware is written for the Arduino ESP32 environment and uses Wire, SPI, SD, Adafruit_GFX, Adafruit_SSD1306, Adafruit_INA219 and RTClib. It writes raw data and status fields and intentionally omits heart-rate estimation, arrhythmia classification and AI inference. The exact library versions used by each replicator should be recorded in the repository release notes.</w:t>
      </w:r>
    </w:p>
    <w:p>
      <w:pPr>
        <w:pStyle w:val="Heading2"/>
        <w:keepNext/>
        <w:spacing w:before="80" w:after="60"/>
      </w:pPr>
      <w:r>
        <w:rPr>
          <w:rFonts w:ascii="Times New Roman" w:hAnsi="Times New Roman"/>
          <w:b/>
          <w:i w:val="0"/>
          <w:sz w:val="24"/>
        </w:rPr>
        <w:t>Dependencies</w:t>
      </w:r>
    </w:p>
    <w:p>
      <w:pPr>
        <w:spacing w:after="80" w:before="0" w:line="247" w:lineRule="auto"/>
        <w:jc w:val="both"/>
      </w:pPr>
      <w:r>
        <w:rPr>
          <w:rFonts w:ascii="Times New Roman" w:hAnsi="Times New Roman"/>
          <w:b w:val="0"/>
          <w:i w:val="0"/>
          <w:sz w:val="20"/>
        </w:rPr>
        <w:t>Hardware dependencies are the modules in Table 3. Software dependencies are listed in the firmware directory. No proprietary software is required for the reference build, although individual commercial modules may contain vendor-specific circuitry and must be used according to their own documentation.</w:t>
      </w:r>
    </w:p>
    <w:p>
      <w:pPr>
        <w:pStyle w:val="Heading2"/>
        <w:keepNext/>
        <w:spacing w:before="80" w:after="60"/>
      </w:pPr>
      <w:r>
        <w:rPr>
          <w:rFonts w:ascii="Times New Roman" w:hAnsi="Times New Roman"/>
          <w:b/>
          <w:i w:val="0"/>
          <w:sz w:val="24"/>
        </w:rPr>
        <w:t>Hardware documentation / build instructions / files location:</w:t>
      </w:r>
    </w:p>
    <w:p>
      <w:pPr>
        <w:pStyle w:val="Heading3"/>
        <w:keepNext/>
        <w:spacing w:before="80" w:after="60"/>
      </w:pPr>
      <w:r>
        <w:rPr>
          <w:rFonts w:ascii="Times New Roman" w:hAnsi="Times New Roman"/>
          <w:b w:val="0"/>
          <w:i w:val="0"/>
          <w:sz w:val="21"/>
        </w:rPr>
        <w:t>Archive for hardware documentation and build files (required)</w:t>
      </w:r>
    </w:p>
    <w:p>
      <w:pPr>
        <w:spacing w:after="80" w:before="0" w:line="247" w:lineRule="auto"/>
        <w:jc w:val="left"/>
      </w:pPr>
      <w:r>
        <w:rPr>
          <w:rFonts w:ascii="Times New Roman" w:hAnsi="Times New Roman"/>
          <w:b w:val="0"/>
          <w:i w:val="0"/>
          <w:sz w:val="20"/>
        </w:rPr>
        <w:t>Name: open-educational-ecg-data-logger</w:t>
      </w:r>
    </w:p>
    <w:p>
      <w:pPr>
        <w:spacing w:after="80" w:before="0" w:line="247" w:lineRule="auto"/>
        <w:jc w:val="left"/>
      </w:pPr>
      <w:r>
        <w:rPr>
          <w:rFonts w:ascii="Times New Roman" w:hAnsi="Times New Roman"/>
          <w:b w:val="0"/>
          <w:i w:val="0"/>
          <w:sz w:val="20"/>
        </w:rPr>
        <w:t>Review repository: https://github.com/gastonravindias/open-educational-ecg-data-logger</w:t>
      </w:r>
    </w:p>
    <w:p>
      <w:pPr>
        <w:spacing w:after="80" w:before="0" w:line="247" w:lineRule="auto"/>
        <w:jc w:val="left"/>
      </w:pPr>
      <w:r>
        <w:rPr>
          <w:rFonts w:ascii="Times New Roman" w:hAnsi="Times New Roman"/>
          <w:b w:val="0"/>
          <w:i w:val="0"/>
          <w:sz w:val="20"/>
        </w:rPr>
        <w:t>Version: v1.0.0</w:t>
      </w:r>
    </w:p>
    <w:p>
      <w:pPr>
        <w:spacing w:after="80" w:before="0" w:line="247" w:lineRule="auto"/>
        <w:jc w:val="left"/>
      </w:pPr>
      <w:r>
        <w:rPr>
          <w:rFonts w:ascii="Times New Roman" w:hAnsi="Times New Roman"/>
          <w:b w:val="0"/>
          <w:i w:val="0"/>
          <w:sz w:val="20"/>
        </w:rPr>
        <w:t>Persistent archive: not assigned at initial submission; the accepted release can be preserved through the journal's archival workflow.</w:t>
      </w:r>
    </w:p>
    <w:p>
      <w:pPr>
        <w:spacing w:after="80" w:before="0" w:line="247" w:lineRule="auto"/>
        <w:jc w:val="left"/>
      </w:pPr>
      <w:r>
        <w:rPr>
          <w:rFonts w:ascii="Times New Roman" w:hAnsi="Times New Roman"/>
          <w:b w:val="0"/>
          <w:i w:val="0"/>
          <w:sz w:val="20"/>
        </w:rPr>
        <w:t>Publisher/depositor: Gaston Ravin Dias</w:t>
      </w:r>
    </w:p>
    <w:p>
      <w:pPr>
        <w:spacing w:after="80" w:before="0" w:line="247" w:lineRule="auto"/>
        <w:jc w:val="left"/>
      </w:pPr>
      <w:r>
        <w:rPr>
          <w:rFonts w:ascii="Times New Roman" w:hAnsi="Times New Roman"/>
          <w:b w:val="0"/>
          <w:i w:val="0"/>
          <w:sz w:val="20"/>
        </w:rPr>
        <w:t>Release date: recorded in the public repository release metadata.</w:t>
      </w:r>
    </w:p>
    <w:p>
      <w:pPr>
        <w:pStyle w:val="Heading3"/>
        <w:keepNext/>
        <w:spacing w:before="80" w:after="60"/>
      </w:pPr>
      <w:r>
        <w:rPr>
          <w:rFonts w:ascii="Times New Roman" w:hAnsi="Times New Roman"/>
          <w:b w:val="0"/>
          <w:i w:val="0"/>
          <w:sz w:val="21"/>
        </w:rPr>
        <w:t>Modifiable design files</w:t>
      </w:r>
    </w:p>
    <w:p>
      <w:pPr>
        <w:spacing w:after="80" w:before="0" w:line="247" w:lineRule="auto"/>
        <w:jc w:val="left"/>
      </w:pPr>
      <w:r>
        <w:rPr>
          <w:rFonts w:ascii="Times New Roman" w:hAnsi="Times New Roman"/>
          <w:b w:val="0"/>
          <w:i w:val="0"/>
          <w:sz w:val="20"/>
        </w:rPr>
        <w:t>Name: hardware/editable_source/wiring_diagram.svg</w:t>
      </w:r>
    </w:p>
    <w:p>
      <w:pPr>
        <w:spacing w:after="80" w:before="0" w:line="247" w:lineRule="auto"/>
        <w:jc w:val="left"/>
      </w:pPr>
      <w:r>
        <w:rPr>
          <w:rFonts w:ascii="Times New Roman" w:hAnsi="Times New Roman"/>
          <w:b w:val="0"/>
          <w:i w:val="0"/>
          <w:sz w:val="20"/>
        </w:rPr>
        <w:t>Identifier: https://github.com/gastonravindias/open-educational-ecg-data-logger/tree/main/hardware/editable_source</w:t>
      </w:r>
    </w:p>
    <w:p>
      <w:pPr>
        <w:pStyle w:val="Heading3"/>
        <w:keepNext/>
        <w:spacing w:before="80" w:after="60"/>
      </w:pPr>
      <w:r>
        <w:rPr>
          <w:rFonts w:ascii="Times New Roman" w:hAnsi="Times New Roman"/>
          <w:b w:val="0"/>
          <w:i w:val="0"/>
          <w:sz w:val="21"/>
        </w:rPr>
        <w:t>Software code repository (required)</w:t>
      </w:r>
    </w:p>
    <w:p>
      <w:pPr>
        <w:spacing w:after="80" w:before="0" w:line="247" w:lineRule="auto"/>
        <w:jc w:val="left"/>
      </w:pPr>
      <w:r>
        <w:rPr>
          <w:rFonts w:ascii="Times New Roman" w:hAnsi="Times New Roman"/>
          <w:b w:val="0"/>
          <w:i w:val="0"/>
          <w:sz w:val="20"/>
        </w:rPr>
        <w:t>Name: solar_ecg_educational_logger_v1_0.ino</w:t>
      </w:r>
    </w:p>
    <w:p>
      <w:pPr>
        <w:spacing w:after="80" w:before="0" w:line="247" w:lineRule="auto"/>
        <w:jc w:val="left"/>
      </w:pPr>
      <w:r>
        <w:rPr>
          <w:rFonts w:ascii="Times New Roman" w:hAnsi="Times New Roman"/>
          <w:b w:val="0"/>
          <w:i w:val="0"/>
          <w:sz w:val="20"/>
        </w:rPr>
        <w:t>Identifier: https://github.com/gastonravindias/open-educational-ecg-data-logger/tree/main/firmware</w:t>
      </w:r>
    </w:p>
    <w:p>
      <w:pPr>
        <w:pStyle w:val="Heading1"/>
        <w:keepNext/>
        <w:spacing w:before="140" w:after="60"/>
      </w:pPr>
      <w:r>
        <w:rPr>
          <w:rFonts w:ascii="Times New Roman" w:hAnsi="Times New Roman"/>
          <w:b/>
          <w:i w:val="0"/>
          <w:sz w:val="30"/>
        </w:rPr>
        <w:t>(5) Discussion</w:t>
      </w:r>
    </w:p>
    <w:p>
      <w:pPr>
        <w:pStyle w:val="Heading2"/>
        <w:keepNext/>
        <w:spacing w:before="80" w:after="60"/>
      </w:pPr>
      <w:r>
        <w:rPr>
          <w:rFonts w:ascii="Times New Roman" w:hAnsi="Times New Roman"/>
          <w:b/>
          <w:i w:val="0"/>
          <w:sz w:val="24"/>
        </w:rPr>
        <w:t>Conclusions</w:t>
      </w:r>
    </w:p>
    <w:p>
      <w:pPr>
        <w:spacing w:after="80" w:before="0" w:line="247" w:lineRule="auto"/>
        <w:jc w:val="both"/>
      </w:pPr>
      <w:r>
        <w:rPr>
          <w:rFonts w:ascii="Times New Roman" w:hAnsi="Times New Roman"/>
          <w:b w:val="0"/>
          <w:i w:val="0"/>
          <w:sz w:val="20"/>
        </w:rPr>
        <w:t>The documented prototype integrates ECG analogue conditioning, ESP32-C3 acquisition, display, timestamping, storage and power-related modules in a transparent educational architecture. Its publication value lies in the open teaching package and explicit evidence boundary, not in clinical performance. The retained project material supports a functional proof-of-concept; the repository converts that material into a structured resource for supervised study and later independent replication.</w:t>
      </w:r>
    </w:p>
    <w:p>
      <w:pPr>
        <w:pStyle w:val="Heading2"/>
        <w:keepNext/>
        <w:spacing w:before="80" w:after="60"/>
      </w:pPr>
      <w:r>
        <w:rPr>
          <w:rFonts w:ascii="Times New Roman" w:hAnsi="Times New Roman"/>
          <w:b/>
          <w:i w:val="0"/>
          <w:sz w:val="24"/>
        </w:rPr>
        <w:t>Future Work</w:t>
      </w:r>
    </w:p>
    <w:p>
      <w:pPr>
        <w:spacing w:after="80" w:before="0" w:line="247" w:lineRule="auto"/>
        <w:jc w:val="both"/>
      </w:pPr>
      <w:r>
        <w:rPr>
          <w:rFonts w:ascii="Times New Roman" w:hAnsi="Times New Roman"/>
          <w:b w:val="0"/>
          <w:i w:val="0"/>
          <w:sz w:val="20"/>
        </w:rPr>
        <w:t>Priority work is independent replication, simulator-based ADC and timing characterisation, SD reliability testing, measured power logging, protected enclosure/PCB development and validation of any solar charger and battery pair. Human-participant or clinical research would require separate ethics review, electrical-safety engineering and a prospective validation protocol.</w:t>
      </w:r>
    </w:p>
    <w:p>
      <w:pPr>
        <w:pStyle w:val="Heading2"/>
        <w:keepNext/>
        <w:spacing w:before="80" w:after="60"/>
      </w:pPr>
      <w:r>
        <w:rPr>
          <w:rFonts w:ascii="Times New Roman" w:hAnsi="Times New Roman"/>
          <w:b/>
          <w:i w:val="0"/>
          <w:sz w:val="24"/>
        </w:rPr>
        <w:t>Ethics and consent</w:t>
      </w:r>
    </w:p>
    <w:p>
      <w:pPr>
        <w:spacing w:after="80" w:before="0" w:line="247" w:lineRule="auto"/>
        <w:jc w:val="both"/>
      </w:pPr>
      <w:r>
        <w:rPr>
          <w:rFonts w:ascii="Times New Roman" w:hAnsi="Times New Roman"/>
          <w:b w:val="0"/>
          <w:i w:val="0"/>
          <w:sz w:val="20"/>
        </w:rPr>
        <w:t>No identifiable personal data are included. The retained images are used only as non-diagnostic functional demonstrations. The article makes no participant-level physiological claim. Any future human-connected study must obtain appropriate consent and institutional ethics determination before data collection.</w:t>
      </w:r>
    </w:p>
    <w:p>
      <w:pPr>
        <w:pStyle w:val="Heading2"/>
        <w:keepNext/>
        <w:spacing w:before="80" w:after="60"/>
      </w:pPr>
      <w:r>
        <w:rPr>
          <w:rFonts w:ascii="Times New Roman" w:hAnsi="Times New Roman"/>
          <w:b/>
          <w:i w:val="0"/>
          <w:sz w:val="24"/>
        </w:rPr>
        <w:t>Paper author contributions (CRediT)</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06"/>
        <w:gridCol w:w="4906"/>
      </w:tblGrid>
      <w:tr>
        <w:trPr>
          <w:tblHeader w:val="true"/>
        </w:trPr>
        <w:tc>
          <w:tcPr>
            <w:tcW w:type="dxa" w:w="4906"/>
            <w:shd w:fill="D8EAF6"/>
            <w:vAlign w:val="center"/>
          </w:tcPr>
          <w:p>
            <w:pPr>
              <w:spacing w:after="0"/>
              <w:jc w:val="left"/>
            </w:pPr>
            <w:r/>
            <w:r>
              <w:rPr>
                <w:rFonts w:ascii="Times New Roman" w:hAnsi="Times New Roman"/>
                <w:b/>
                <w:sz w:val="17"/>
              </w:rPr>
              <w:t>Role</w:t>
            </w:r>
          </w:p>
        </w:tc>
        <w:tc>
          <w:tcPr>
            <w:tcW w:type="dxa" w:w="4906"/>
            <w:shd w:fill="D8EAF6"/>
            <w:vAlign w:val="center"/>
          </w:tcPr>
          <w:p>
            <w:pPr>
              <w:spacing w:after="0"/>
              <w:jc w:val="left"/>
            </w:pPr>
            <w:r/>
            <w:r>
              <w:rPr>
                <w:rFonts w:ascii="Times New Roman" w:hAnsi="Times New Roman"/>
                <w:b/>
                <w:sz w:val="17"/>
              </w:rPr>
              <w:t>Contribution</w:t>
            </w:r>
          </w:p>
        </w:tc>
      </w:tr>
      <w:tr>
        <w:trPr>
          <w:cantSplit/>
        </w:trPr>
        <w:tc>
          <w:tcPr>
            <w:tcW w:type="dxa" w:w="4906"/>
            <w:vAlign w:val="center"/>
          </w:tcPr>
          <w:p>
            <w:pPr>
              <w:spacing w:after="0"/>
              <w:jc w:val="left"/>
            </w:pPr>
            <w:r/>
            <w:r>
              <w:rPr>
                <w:rFonts w:ascii="Times New Roman" w:hAnsi="Times New Roman"/>
                <w:b w:val="0"/>
                <w:sz w:val="16"/>
              </w:rPr>
              <w:t>Conceptualization and prototype development</w:t>
            </w:r>
          </w:p>
        </w:tc>
        <w:tc>
          <w:tcPr>
            <w:tcW w:type="dxa" w:w="4906"/>
            <w:vAlign w:val="center"/>
          </w:tcPr>
          <w:p>
            <w:pPr>
              <w:spacing w:after="0"/>
              <w:jc w:val="left"/>
            </w:pPr>
            <w:r/>
            <w:r>
              <w:rPr>
                <w:rFonts w:ascii="Times New Roman" w:hAnsi="Times New Roman"/>
                <w:b w:val="0"/>
                <w:sz w:val="16"/>
              </w:rPr>
              <w:t>Shreyas Ambati</w:t>
            </w:r>
          </w:p>
        </w:tc>
      </w:tr>
      <w:tr>
        <w:trPr>
          <w:cantSplit/>
        </w:trPr>
        <w:tc>
          <w:tcPr>
            <w:tcW w:type="dxa" w:w="4906"/>
            <w:vAlign w:val="center"/>
          </w:tcPr>
          <w:p>
            <w:pPr>
              <w:spacing w:after="0"/>
              <w:jc w:val="left"/>
            </w:pPr>
            <w:r/>
            <w:r>
              <w:rPr>
                <w:rFonts w:ascii="Times New Roman" w:hAnsi="Times New Roman"/>
                <w:b w:val="0"/>
                <w:sz w:val="16"/>
              </w:rPr>
              <w:t>Hardware assembly and original functional demonstration</w:t>
            </w:r>
          </w:p>
        </w:tc>
        <w:tc>
          <w:tcPr>
            <w:tcW w:type="dxa" w:w="4906"/>
            <w:vAlign w:val="center"/>
          </w:tcPr>
          <w:p>
            <w:pPr>
              <w:spacing w:after="0"/>
              <w:jc w:val="left"/>
            </w:pPr>
            <w:r/>
            <w:r>
              <w:rPr>
                <w:rFonts w:ascii="Times New Roman" w:hAnsi="Times New Roman"/>
                <w:b w:val="0"/>
                <w:sz w:val="16"/>
              </w:rPr>
              <w:t>Shreyas Ambati</w:t>
            </w:r>
          </w:p>
        </w:tc>
      </w:tr>
      <w:tr>
        <w:trPr>
          <w:cantSplit/>
        </w:trPr>
        <w:tc>
          <w:tcPr>
            <w:tcW w:type="dxa" w:w="4906"/>
            <w:vAlign w:val="center"/>
          </w:tcPr>
          <w:p>
            <w:pPr>
              <w:spacing w:after="0"/>
              <w:jc w:val="left"/>
            </w:pPr>
            <w:r/>
            <w:r>
              <w:rPr>
                <w:rFonts w:ascii="Times New Roman" w:hAnsi="Times New Roman"/>
                <w:b w:val="0"/>
                <w:sz w:val="16"/>
              </w:rPr>
              <w:t>Repository reconstruction and documentation</w:t>
            </w:r>
          </w:p>
        </w:tc>
        <w:tc>
          <w:tcPr>
            <w:tcW w:type="dxa" w:w="4906"/>
            <w:vAlign w:val="center"/>
          </w:tcPr>
          <w:p>
            <w:pPr>
              <w:spacing w:after="0"/>
              <w:jc w:val="left"/>
            </w:pPr>
            <w:r/>
            <w:r>
              <w:rPr>
                <w:rFonts w:ascii="Times New Roman" w:hAnsi="Times New Roman"/>
                <w:b w:val="0"/>
                <w:sz w:val="16"/>
              </w:rPr>
              <w:t>Shreyas Ambati; Gaston Ravin Dias</w:t>
            </w:r>
          </w:p>
        </w:tc>
      </w:tr>
      <w:tr>
        <w:trPr>
          <w:cantSplit/>
        </w:trPr>
        <w:tc>
          <w:tcPr>
            <w:tcW w:type="dxa" w:w="4906"/>
            <w:vAlign w:val="center"/>
          </w:tcPr>
          <w:p>
            <w:pPr>
              <w:spacing w:after="0"/>
              <w:jc w:val="left"/>
            </w:pPr>
            <w:r/>
            <w:r>
              <w:rPr>
                <w:rFonts w:ascii="Times New Roman" w:hAnsi="Times New Roman"/>
                <w:b w:val="0"/>
                <w:sz w:val="16"/>
              </w:rPr>
              <w:t>Supervision</w:t>
            </w:r>
          </w:p>
        </w:tc>
        <w:tc>
          <w:tcPr>
            <w:tcW w:type="dxa" w:w="4906"/>
            <w:vAlign w:val="center"/>
          </w:tcPr>
          <w:p>
            <w:pPr>
              <w:spacing w:after="0"/>
              <w:jc w:val="left"/>
            </w:pPr>
            <w:r/>
            <w:r>
              <w:rPr>
                <w:rFonts w:ascii="Times New Roman" w:hAnsi="Times New Roman"/>
                <w:b w:val="0"/>
                <w:sz w:val="16"/>
              </w:rPr>
              <w:t>Gaston Ravin Dias; Mohd Yazed bin Ahmad</w:t>
            </w:r>
          </w:p>
        </w:tc>
      </w:tr>
      <w:tr>
        <w:trPr>
          <w:cantSplit/>
        </w:trPr>
        <w:tc>
          <w:tcPr>
            <w:tcW w:type="dxa" w:w="4906"/>
            <w:vAlign w:val="center"/>
          </w:tcPr>
          <w:p>
            <w:pPr>
              <w:spacing w:after="0"/>
              <w:jc w:val="left"/>
            </w:pPr>
            <w:r/>
            <w:r>
              <w:rPr>
                <w:rFonts w:ascii="Times New Roman" w:hAnsi="Times New Roman"/>
                <w:b w:val="0"/>
                <w:sz w:val="16"/>
              </w:rPr>
              <w:t>Writing - original draft</w:t>
            </w:r>
          </w:p>
        </w:tc>
        <w:tc>
          <w:tcPr>
            <w:tcW w:type="dxa" w:w="4906"/>
            <w:vAlign w:val="center"/>
          </w:tcPr>
          <w:p>
            <w:pPr>
              <w:spacing w:after="0"/>
              <w:jc w:val="left"/>
            </w:pPr>
            <w:r/>
            <w:r>
              <w:rPr>
                <w:rFonts w:ascii="Times New Roman" w:hAnsi="Times New Roman"/>
                <w:b w:val="0"/>
                <w:sz w:val="16"/>
              </w:rPr>
              <w:t>Shreyas Ambati; Gaston Ravin Dias</w:t>
            </w:r>
          </w:p>
        </w:tc>
      </w:tr>
      <w:tr>
        <w:trPr>
          <w:cantSplit/>
        </w:trPr>
        <w:tc>
          <w:tcPr>
            <w:tcW w:type="dxa" w:w="4906"/>
            <w:vAlign w:val="center"/>
          </w:tcPr>
          <w:p>
            <w:pPr>
              <w:spacing w:after="0"/>
              <w:jc w:val="left"/>
            </w:pPr>
            <w:r/>
            <w:r>
              <w:rPr>
                <w:rFonts w:ascii="Times New Roman" w:hAnsi="Times New Roman"/>
                <w:b w:val="0"/>
                <w:sz w:val="16"/>
              </w:rPr>
              <w:t>Writing - review and editing</w:t>
            </w:r>
          </w:p>
        </w:tc>
        <w:tc>
          <w:tcPr>
            <w:tcW w:type="dxa" w:w="4906"/>
            <w:vAlign w:val="center"/>
          </w:tcPr>
          <w:p>
            <w:pPr>
              <w:spacing w:after="0"/>
              <w:jc w:val="left"/>
            </w:pPr>
            <w:r/>
            <w:r>
              <w:rPr>
                <w:rFonts w:ascii="Times New Roman" w:hAnsi="Times New Roman"/>
                <w:b w:val="0"/>
                <w:sz w:val="16"/>
              </w:rPr>
              <w:t>All authors</w:t>
            </w:r>
          </w:p>
        </w:tc>
      </w:tr>
      <w:tr>
        <w:trPr>
          <w:cantSplit/>
        </w:trPr>
        <w:tc>
          <w:tcPr>
            <w:tcW w:type="dxa" w:w="4906"/>
            <w:vAlign w:val="center"/>
          </w:tcPr>
          <w:p>
            <w:pPr>
              <w:spacing w:after="0"/>
              <w:jc w:val="left"/>
            </w:pPr>
            <w:r/>
            <w:r>
              <w:rPr>
                <w:rFonts w:ascii="Times New Roman" w:hAnsi="Times New Roman"/>
                <w:b w:val="0"/>
                <w:sz w:val="16"/>
              </w:rPr>
              <w:t>Project administration and correspondence</w:t>
            </w:r>
          </w:p>
        </w:tc>
        <w:tc>
          <w:tcPr>
            <w:tcW w:type="dxa" w:w="4906"/>
            <w:vAlign w:val="center"/>
          </w:tcPr>
          <w:p>
            <w:pPr>
              <w:spacing w:after="0"/>
              <w:jc w:val="left"/>
            </w:pPr>
            <w:r/>
            <w:r>
              <w:rPr>
                <w:rFonts w:ascii="Times New Roman" w:hAnsi="Times New Roman"/>
                <w:b w:val="0"/>
                <w:sz w:val="16"/>
              </w:rPr>
              <w:t>Gaston Ravin Dias</w:t>
            </w:r>
          </w:p>
        </w:tc>
      </w:tr>
    </w:tbl>
    <w:p/>
    <w:p>
      <w:pPr>
        <w:pStyle w:val="Heading2"/>
        <w:keepNext/>
        <w:spacing w:before="80" w:after="60"/>
      </w:pPr>
      <w:r>
        <w:rPr>
          <w:rFonts w:ascii="Times New Roman" w:hAnsi="Times New Roman"/>
          <w:b/>
          <w:i w:val="0"/>
          <w:sz w:val="24"/>
        </w:rPr>
        <w:t>Acknowledgments</w:t>
      </w:r>
    </w:p>
    <w:p>
      <w:pPr>
        <w:spacing w:after="80" w:before="0" w:line="247" w:lineRule="auto"/>
        <w:jc w:val="both"/>
      </w:pPr>
      <w:r>
        <w:rPr>
          <w:rFonts w:ascii="Times New Roman" w:hAnsi="Times New Roman"/>
          <w:b w:val="0"/>
          <w:i w:val="0"/>
          <w:sz w:val="20"/>
        </w:rPr>
        <w:t>The authors acknowledge the educational supervision and review that supported the prototype project and manuscript preparation.</w:t>
      </w:r>
    </w:p>
    <w:p>
      <w:pPr>
        <w:pStyle w:val="Heading2"/>
        <w:keepNext/>
        <w:spacing w:before="80" w:after="60"/>
      </w:pPr>
      <w:r>
        <w:rPr>
          <w:rFonts w:ascii="Times New Roman" w:hAnsi="Times New Roman"/>
          <w:b/>
          <w:i w:val="0"/>
          <w:sz w:val="24"/>
        </w:rPr>
        <w:t>Funding statement</w:t>
      </w:r>
    </w:p>
    <w:p>
      <w:pPr>
        <w:spacing w:after="80" w:before="0" w:line="247" w:lineRule="auto"/>
        <w:jc w:val="both"/>
      </w:pPr>
      <w:r>
        <w:rPr>
          <w:rFonts w:ascii="Times New Roman" w:hAnsi="Times New Roman"/>
          <w:b w:val="0"/>
          <w:i w:val="0"/>
          <w:sz w:val="20"/>
        </w:rPr>
        <w:t>No specific external funding was received for this work.</w:t>
      </w:r>
    </w:p>
    <w:p>
      <w:pPr>
        <w:pStyle w:val="Heading2"/>
        <w:keepNext/>
        <w:spacing w:before="80" w:after="60"/>
      </w:pPr>
      <w:r>
        <w:rPr>
          <w:rFonts w:ascii="Times New Roman" w:hAnsi="Times New Roman"/>
          <w:b/>
          <w:i w:val="0"/>
          <w:sz w:val="24"/>
        </w:rPr>
        <w:t>Competing interests</w:t>
      </w:r>
    </w:p>
    <w:p>
      <w:pPr>
        <w:spacing w:after="80" w:before="0" w:line="247" w:lineRule="auto"/>
        <w:jc w:val="both"/>
      </w:pPr>
      <w:r>
        <w:rPr>
          <w:rFonts w:ascii="Times New Roman" w:hAnsi="Times New Roman"/>
          <w:b w:val="0"/>
          <w:i w:val="0"/>
          <w:sz w:val="20"/>
        </w:rPr>
        <w:t>The authors declare that they have no competing interests.</w:t>
      </w:r>
    </w:p>
    <w:p>
      <w:pPr>
        <w:pStyle w:val="Heading2"/>
        <w:keepNext/>
        <w:spacing w:before="80" w:after="60"/>
      </w:pPr>
      <w:r>
        <w:rPr>
          <w:rFonts w:ascii="Times New Roman" w:hAnsi="Times New Roman"/>
          <w:b/>
          <w:i w:val="0"/>
          <w:sz w:val="24"/>
        </w:rPr>
        <w:t>References</w:t>
      </w:r>
    </w:p>
    <w:p>
      <w:pPr>
        <w:spacing w:after="50"/>
        <w:ind w:left="312" w:hanging="312"/>
        <w:jc w:val="both"/>
      </w:pPr>
      <w:r>
        <w:rPr>
          <w:rFonts w:ascii="Times New Roman" w:hAnsi="Times New Roman"/>
          <w:b w:val="0"/>
          <w:i w:val="0"/>
          <w:sz w:val="16"/>
        </w:rPr>
        <w:t>[1] Serhani MA, El Kassabi HT, Ismail H, Nujum Navaz A. ECG monitoring systems: review, architecture, processes, and key challenges. Sensors. 2020;20(6):1796. DOI: 10.3390/s20061796.</w:t>
      </w:r>
    </w:p>
    <w:p>
      <w:pPr>
        <w:spacing w:after="50"/>
        <w:ind w:left="312" w:hanging="312"/>
        <w:jc w:val="both"/>
      </w:pPr>
      <w:r>
        <w:rPr>
          <w:rFonts w:ascii="Times New Roman" w:hAnsi="Times New Roman"/>
          <w:b w:val="0"/>
          <w:i w:val="0"/>
          <w:sz w:val="16"/>
        </w:rPr>
        <w:t>[2] Bravo-Zanoguera M, Cuevas-González D, Reyna MA, García-Vázquez JP, Avitia RL. Fabricating a portable ECG device using AD823X analog front-end microchips and open-source development validation. Sensors. 2020;20(20):5962. DOI: 10.3390/s20205962.</w:t>
      </w:r>
    </w:p>
    <w:p>
      <w:pPr>
        <w:spacing w:after="50"/>
        <w:ind w:left="312" w:hanging="312"/>
        <w:jc w:val="both"/>
      </w:pPr>
      <w:r>
        <w:rPr>
          <w:rFonts w:ascii="Times New Roman" w:hAnsi="Times New Roman"/>
          <w:b w:val="0"/>
          <w:i w:val="0"/>
          <w:sz w:val="16"/>
        </w:rPr>
        <w:t>[3] Mendes Junior JJA, Campos DP, Biassio LCAVD, Passos PC, Júnior PB, Lazzaretti AE, Krueger E. AD8232 to biopotentials sensors: open source project and benchmark. Electronics. 2023;12(4):833. DOI: 10.3390/electronics12040833.</w:t>
      </w:r>
    </w:p>
    <w:p>
      <w:pPr>
        <w:spacing w:after="50"/>
        <w:ind w:left="312" w:hanging="312"/>
        <w:jc w:val="both"/>
      </w:pPr>
      <w:r>
        <w:rPr>
          <w:rFonts w:ascii="Times New Roman" w:hAnsi="Times New Roman"/>
          <w:b w:val="0"/>
          <w:i w:val="0"/>
          <w:sz w:val="16"/>
        </w:rPr>
        <w:t>[4] Heaney J, Buick J, Hadi MU, Soin N. Internet of Things-based ECG and vitals healthcare monitoring system. Micromachines. 2022;13(12):2153. DOI: 10.3390/mi13122153.</w:t>
      </w:r>
    </w:p>
    <w:p>
      <w:pPr>
        <w:spacing w:after="50"/>
        <w:ind w:left="312" w:hanging="312"/>
        <w:jc w:val="both"/>
      </w:pPr>
      <w:r>
        <w:rPr>
          <w:rFonts w:ascii="Times New Roman" w:hAnsi="Times New Roman"/>
          <w:b w:val="0"/>
          <w:i w:val="0"/>
          <w:sz w:val="16"/>
        </w:rPr>
        <w:t>[5] Solano J, Calderón AJ, Paguada S, Hernández Ó, Reyes Marín EV, Sandoval H, et al. Handy EKG: a low-cost electrocardiograph for primary care. Cureus. 2023;15(11):e48563. DOI: 10.7759/cureus.48563.</w:t>
      </w:r>
    </w:p>
    <w:p>
      <w:pPr>
        <w:spacing w:after="50"/>
        <w:ind w:left="312" w:hanging="312"/>
        <w:jc w:val="both"/>
      </w:pPr>
      <w:r>
        <w:rPr>
          <w:rFonts w:ascii="Times New Roman" w:hAnsi="Times New Roman"/>
          <w:b w:val="0"/>
          <w:i w:val="0"/>
          <w:sz w:val="16"/>
        </w:rPr>
        <w:t>[6] Campero Jurado I, Lorato I, Morales J, Fruytier L, Stuart S, Panditha P, et al. Signal quality analysis for long-term ECG monitoring using a health patch in cardiac patients. Sensors. 2023;23(4):2130. DOI: 10.3390/s23042130.</w:t>
      </w:r>
    </w:p>
    <w:p>
      <w:pPr>
        <w:spacing w:after="50"/>
        <w:ind w:left="312" w:hanging="312"/>
        <w:jc w:val="both"/>
      </w:pPr>
      <w:r>
        <w:rPr>
          <w:rFonts w:ascii="Times New Roman" w:hAnsi="Times New Roman"/>
          <w:b w:val="0"/>
          <w:i w:val="0"/>
          <w:sz w:val="16"/>
        </w:rPr>
        <w:t>[7] Rahman S, Karmakar C, Natgunanathan I, Yearwood J, Palaniswami M. Robustness of electrocardiogram signal quality indices. J R Soc Interface. 2022;19(189):20220012. DOI: 10.1098/rsif.2022.0012.</w:t>
      </w:r>
    </w:p>
    <w:p>
      <w:pPr>
        <w:spacing w:after="50"/>
        <w:ind w:left="312" w:hanging="312"/>
        <w:jc w:val="both"/>
      </w:pPr>
      <w:r>
        <w:rPr>
          <w:rFonts w:ascii="Times New Roman" w:hAnsi="Times New Roman"/>
          <w:b w:val="0"/>
          <w:i w:val="0"/>
          <w:sz w:val="16"/>
        </w:rPr>
        <w:t>[8] An X, Liu Y, Zhao Y, Lu S, Stylios GK, Liu Q. Adaptive motion artifact reduction in wearable ECG measurements using impedance pneumography signal. Sensors. 2022;22(15):5493. DOI: 10.3390/s22155493.</w:t>
      </w:r>
    </w:p>
    <w:p>
      <w:pPr>
        <w:spacing w:after="50"/>
        <w:ind w:left="312" w:hanging="312"/>
        <w:jc w:val="both"/>
      </w:pPr>
      <w:r>
        <w:rPr>
          <w:rFonts w:ascii="Times New Roman" w:hAnsi="Times New Roman"/>
          <w:b w:val="0"/>
          <w:i w:val="0"/>
          <w:sz w:val="16"/>
        </w:rPr>
        <w:t>[9] Páez-Montoro A, García-Valderas M, Olías-Ruiz E, López-Ongil C. Solar energy harvesting to improve capabilities of wearable devices. Sensors. 2022;22(10):3950. DOI: 10.3390/s22103950.</w:t>
      </w:r>
    </w:p>
    <w:p>
      <w:pPr>
        <w:spacing w:after="50"/>
        <w:ind w:left="312" w:hanging="312"/>
        <w:jc w:val="both"/>
      </w:pPr>
      <w:r>
        <w:rPr>
          <w:rFonts w:ascii="Times New Roman" w:hAnsi="Times New Roman"/>
          <w:b w:val="0"/>
          <w:i w:val="0"/>
          <w:sz w:val="16"/>
        </w:rPr>
        <w:t>[10] Khan AS, Khan FU. A wearable solar energy harvesting based jacket with maximum power point tracking for vital health monitoring systems. IEEE Access. 2022;10:119475-119495. DOI: 10.1109/ACCESS.2022.3220900.</w:t>
      </w:r>
    </w:p>
    <w:p>
      <w:pPr>
        <w:spacing w:after="50"/>
        <w:ind w:left="312" w:hanging="312"/>
        <w:jc w:val="both"/>
      </w:pPr>
      <w:r>
        <w:rPr>
          <w:rFonts w:ascii="Times New Roman" w:hAnsi="Times New Roman"/>
          <w:b w:val="0"/>
          <w:i w:val="0"/>
          <w:sz w:val="16"/>
        </w:rPr>
        <w:t>[11] Bonvoisin J, Molloy J, Häuer M, Wenzel T. Standardisation of practices in open source hardware. J Open Hardw. 2020;4(1):2. DOI: 10.5334/joh.22.</w:t>
      </w:r>
    </w:p>
    <w:p>
      <w:pPr>
        <w:spacing w:after="50"/>
        <w:ind w:left="312" w:hanging="312"/>
        <w:jc w:val="both"/>
      </w:pPr>
      <w:r>
        <w:rPr>
          <w:rFonts w:ascii="Times New Roman" w:hAnsi="Times New Roman"/>
          <w:b w:val="0"/>
          <w:i w:val="0"/>
          <w:sz w:val="16"/>
        </w:rPr>
        <w:t>[12] Open Source Hardware Association. Open Source Hardware Definition 1.0. Available from: https://oshwa.org/resources/open-source-hardware-definition/.</w:t>
      </w:r>
    </w:p>
    <w:p>
      <w:pPr>
        <w:spacing w:after="50"/>
        <w:ind w:left="312" w:hanging="312"/>
        <w:jc w:val="both"/>
      </w:pPr>
      <w:r>
        <w:rPr>
          <w:rFonts w:ascii="Times New Roman" w:hAnsi="Times New Roman"/>
          <w:b w:val="0"/>
          <w:i w:val="0"/>
          <w:sz w:val="16"/>
        </w:rPr>
        <w:t>[13] International Electrotechnical Commission. IEC 60601-1:2005+A1:2012+A2:2020. Medical electrical equipment - Part 1: General requirements for basic safety and essential performance. Geneva: IEC; 2020.</w:t>
      </w:r>
    </w:p>
    <w:p>
      <w:pPr>
        <w:spacing w:after="50"/>
        <w:ind w:left="312" w:hanging="312"/>
        <w:jc w:val="both"/>
      </w:pPr>
      <w:r>
        <w:rPr>
          <w:rFonts w:ascii="Times New Roman" w:hAnsi="Times New Roman"/>
          <w:b w:val="0"/>
          <w:i w:val="0"/>
          <w:sz w:val="16"/>
        </w:rPr>
        <w:t>[14] International Electrotechnical Commission. IEC 60601-2-47:2012. Medical electrical equipment - Part 2-47: Particular requirements for the basic safety and essential performance of ambulatory electrocardiographic systems. Geneva: IEC; 2012.</w:t>
      </w:r>
    </w:p>
    <w:p>
      <w:pPr>
        <w:spacing w:after="50"/>
        <w:ind w:left="312" w:hanging="312"/>
        <w:jc w:val="both"/>
      </w:pPr>
      <w:r>
        <w:rPr>
          <w:rFonts w:ascii="Times New Roman" w:hAnsi="Times New Roman"/>
          <w:b w:val="0"/>
          <w:i w:val="0"/>
          <w:sz w:val="16"/>
        </w:rPr>
        <w:t>[15] International Organization for Standardization. ISO 14971:2019. Medical devices - Application of risk management to medical devices. Geneva: ISO; 2019.</w:t>
      </w:r>
    </w:p>
    <w:p>
      <w:pPr>
        <w:pStyle w:val="Heading1"/>
        <w:keepNext/>
        <w:spacing w:before="140" w:after="60"/>
      </w:pPr>
      <w:r>
        <w:rPr>
          <w:rFonts w:ascii="Times New Roman" w:hAnsi="Times New Roman"/>
          <w:b/>
          <w:i w:val="0"/>
          <w:sz w:val="30"/>
        </w:rPr>
        <w:t>(6) Licenses</w:t>
      </w:r>
    </w:p>
    <w:p>
      <w:pPr>
        <w:spacing w:after="80" w:before="0" w:line="247" w:lineRule="auto"/>
        <w:jc w:val="both"/>
      </w:pPr>
      <w:r>
        <w:rPr>
          <w:rFonts w:ascii="Times New Roman" w:hAnsi="Times New Roman"/>
          <w:b w:val="0"/>
          <w:i w:val="0"/>
          <w:sz w:val="20"/>
        </w:rPr>
        <w:t>Article: Creative Commons Attribution 4.0 International (CC BY 4.0).</w:t>
      </w:r>
    </w:p>
    <w:p>
      <w:pPr>
        <w:spacing w:after="80" w:before="0" w:line="247" w:lineRule="auto"/>
        <w:jc w:val="both"/>
      </w:pPr>
      <w:r>
        <w:rPr>
          <w:rFonts w:ascii="Times New Roman" w:hAnsi="Times New Roman"/>
          <w:b w:val="0"/>
          <w:i w:val="0"/>
          <w:sz w:val="20"/>
        </w:rPr>
        <w:t>Hardware design files: CERN Open Hardware Licence Version 2 - Permissive (CERN-OHL-P-2.0).</w:t>
      </w:r>
    </w:p>
    <w:p>
      <w:pPr>
        <w:spacing w:after="80" w:before="0" w:line="247" w:lineRule="auto"/>
        <w:jc w:val="both"/>
      </w:pPr>
      <w:r>
        <w:rPr>
          <w:rFonts w:ascii="Times New Roman" w:hAnsi="Times New Roman"/>
          <w:b w:val="0"/>
          <w:i w:val="0"/>
          <w:sz w:val="20"/>
        </w:rPr>
        <w:t>Reference firmware: MIT License.</w:t>
      </w:r>
    </w:p>
    <w:p>
      <w:pPr>
        <w:spacing w:after="80" w:before="0" w:line="247" w:lineRule="auto"/>
        <w:jc w:val="both"/>
      </w:pPr>
      <w:r>
        <w:rPr>
          <w:rFonts w:ascii="Times New Roman" w:hAnsi="Times New Roman"/>
          <w:b w:val="0"/>
          <w:i w:val="0"/>
          <w:sz w:val="20"/>
        </w:rPr>
        <w:t>Documentation and original repository figures: CC BY 4.0. Third-party module materials retain their original terms.</w:t>
      </w:r>
    </w:p>
    <w:sectPr w:rsidR="00244E28" w:rsidRPr="00FB1C1F" w:rsidSect="002F688B">
      <w:headerReference w:type="even" r:id="rId11"/>
      <w:headerReference w:type="default" r:id="rId12"/>
      <w:footerReference w:type="even" r:id="rId13"/>
      <w:footerReference w:type="default" r:id="rId14"/>
      <w:headerReference w:type="first" r:id="rId15"/>
      <w:footerReference w:type="first" r:id="rId16"/>
      <w:pgSz w:w="11909" w:h="16834"/>
      <w:pgMar w:top="907" w:right="1020" w:bottom="907" w:left="1077"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76C66" w14:textId="77777777" w:rsidR="002F688B" w:rsidRDefault="002F688B" w:rsidP="00FB1C1F">
      <w:pPr>
        <w:spacing w:line="240" w:lineRule="auto"/>
      </w:pPr>
      <w:r>
        <w:separator/>
      </w:r>
    </w:p>
  </w:endnote>
  <w:endnote w:type="continuationSeparator" w:id="0">
    <w:p w14:paraId="3FE7BABA" w14:textId="77777777" w:rsidR="002F688B" w:rsidRDefault="002F688B" w:rsidP="00FB1C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FE1D0" w14:textId="77777777" w:rsidR="00A97F95" w:rsidRDefault="00A97F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4E8BA" w14:textId="77777777" w:rsidR="00A97F95" w:rsidRDefault="00A97F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8FC67" w14:textId="77777777" w:rsidR="00A97F95" w:rsidRDefault="00A97F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46B37" w14:textId="77777777" w:rsidR="002F688B" w:rsidRDefault="002F688B" w:rsidP="00FB1C1F">
      <w:pPr>
        <w:spacing w:line="240" w:lineRule="auto"/>
      </w:pPr>
      <w:r>
        <w:separator/>
      </w:r>
    </w:p>
  </w:footnote>
  <w:footnote w:type="continuationSeparator" w:id="0">
    <w:p w14:paraId="6CD50B90" w14:textId="77777777" w:rsidR="002F688B" w:rsidRDefault="002F688B" w:rsidP="00FB1C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EB326" w14:textId="77777777" w:rsidR="00FB1C1F" w:rsidRDefault="00FB1C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11B93" w14:textId="3B5EB92C" w:rsidR="00FB1C1F" w:rsidRDefault="00FB1C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37959" w14:textId="375BC331" w:rsidR="00FB1C1F" w:rsidRDefault="00FB1C1F">
    <w:pPr>
      <w:pStyle w:val="Header"/>
    </w:pPr>
    <w:r>
      <w:rPr>
        <w:noProof/>
      </w:rPr>
      <w:drawing>
        <wp:inline distT="0" distB="0" distL="0" distR="0" wp14:anchorId="565BEEDD" wp14:editId="074FF1A8">
          <wp:extent cx="5733415" cy="768350"/>
          <wp:effectExtent l="0" t="0" r="0" b="6350"/>
          <wp:docPr id="630663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63173" name="Picture 630663173"/>
                  <pic:cNvPicPr/>
                </pic:nvPicPr>
                <pic:blipFill>
                  <a:blip r:embed="rId1">
                    <a:extLst>
                      <a:ext uri="{28A0092B-C50C-407E-A947-70E740481C1C}">
                        <a14:useLocalDpi xmlns:a14="http://schemas.microsoft.com/office/drawing/2010/main" val="0"/>
                      </a:ext>
                    </a:extLst>
                  </a:blip>
                  <a:stretch>
                    <a:fillRect/>
                  </a:stretch>
                </pic:blipFill>
                <pic:spPr>
                  <a:xfrm>
                    <a:off x="0" y="0"/>
                    <a:ext cx="5733415" cy="7683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28"/>
    <w:rsid w:val="001F7E94"/>
    <w:rsid w:val="00244E28"/>
    <w:rsid w:val="002D6DEC"/>
    <w:rsid w:val="002F2D7C"/>
    <w:rsid w:val="002F688B"/>
    <w:rsid w:val="00350203"/>
    <w:rsid w:val="004174CC"/>
    <w:rsid w:val="00572453"/>
    <w:rsid w:val="005F43F0"/>
    <w:rsid w:val="006448AB"/>
    <w:rsid w:val="00812FFA"/>
    <w:rsid w:val="008F182B"/>
    <w:rsid w:val="00972C48"/>
    <w:rsid w:val="009E15F8"/>
    <w:rsid w:val="00A56DA9"/>
    <w:rsid w:val="00A91D24"/>
    <w:rsid w:val="00A97F95"/>
    <w:rsid w:val="00B1608C"/>
    <w:rsid w:val="00B26576"/>
    <w:rsid w:val="00B63FAF"/>
    <w:rsid w:val="00F64668"/>
    <w:rsid w:val="00FB1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E968A"/>
  <w15:docId w15:val="{56248E2B-84DD-5A43-9BCC-454D6633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FB1C1F"/>
    <w:pPr>
      <w:tabs>
        <w:tab w:val="center" w:pos="4513"/>
        <w:tab w:val="right" w:pos="9026"/>
      </w:tabs>
      <w:spacing w:line="240" w:lineRule="auto"/>
    </w:pPr>
  </w:style>
  <w:style w:type="character" w:customStyle="1" w:styleId="HeaderChar">
    <w:name w:val="Header Char"/>
    <w:basedOn w:val="DefaultParagraphFont"/>
    <w:link w:val="Header"/>
    <w:uiPriority w:val="99"/>
    <w:rsid w:val="00FB1C1F"/>
  </w:style>
  <w:style w:type="paragraph" w:styleId="Footer">
    <w:name w:val="footer"/>
    <w:basedOn w:val="Normal"/>
    <w:link w:val="FooterChar"/>
    <w:uiPriority w:val="99"/>
    <w:unhideWhenUsed/>
    <w:rsid w:val="00FB1C1F"/>
    <w:pPr>
      <w:tabs>
        <w:tab w:val="center" w:pos="4513"/>
        <w:tab w:val="right" w:pos="9026"/>
      </w:tabs>
      <w:spacing w:line="240" w:lineRule="auto"/>
    </w:pPr>
  </w:style>
  <w:style w:type="character" w:customStyle="1" w:styleId="FooterChar">
    <w:name w:val="Footer Char"/>
    <w:basedOn w:val="DefaultParagraphFont"/>
    <w:link w:val="Footer"/>
    <w:uiPriority w:val="99"/>
    <w:rsid w:val="00FB1C1F"/>
  </w:style>
  <w:style w:type="character" w:styleId="LineNumber">
    <w:name w:val="line number"/>
    <w:basedOn w:val="DefaultParagraphFont"/>
    <w:uiPriority w:val="99"/>
    <w:semiHidden/>
    <w:unhideWhenUsed/>
    <w:rsid w:val="00B1608C"/>
  </w:style>
  <w:style w:type="character" w:styleId="CommentReference">
    <w:name w:val="annotation reference"/>
    <w:basedOn w:val="DefaultParagraphFont"/>
    <w:uiPriority w:val="99"/>
    <w:semiHidden/>
    <w:unhideWhenUsed/>
    <w:rsid w:val="00F64668"/>
    <w:rPr>
      <w:sz w:val="16"/>
      <w:szCs w:val="16"/>
    </w:rPr>
  </w:style>
  <w:style w:type="paragraph" w:styleId="CommentText">
    <w:name w:val="annotation text"/>
    <w:basedOn w:val="Normal"/>
    <w:link w:val="CommentTextChar"/>
    <w:uiPriority w:val="99"/>
    <w:semiHidden/>
    <w:unhideWhenUsed/>
    <w:rsid w:val="00F64668"/>
    <w:pPr>
      <w:spacing w:line="240" w:lineRule="auto"/>
    </w:pPr>
    <w:rPr>
      <w:sz w:val="20"/>
      <w:szCs w:val="20"/>
    </w:rPr>
  </w:style>
  <w:style w:type="character" w:customStyle="1" w:styleId="CommentTextChar">
    <w:name w:val="Comment Text Char"/>
    <w:basedOn w:val="DefaultParagraphFont"/>
    <w:link w:val="CommentText"/>
    <w:uiPriority w:val="99"/>
    <w:semiHidden/>
    <w:rsid w:val="00F64668"/>
    <w:rPr>
      <w:sz w:val="20"/>
      <w:szCs w:val="20"/>
    </w:rPr>
  </w:style>
  <w:style w:type="paragraph" w:styleId="CommentSubject">
    <w:name w:val="annotation subject"/>
    <w:basedOn w:val="CommentText"/>
    <w:next w:val="CommentText"/>
    <w:link w:val="CommentSubjectChar"/>
    <w:uiPriority w:val="99"/>
    <w:semiHidden/>
    <w:unhideWhenUsed/>
    <w:rsid w:val="00F64668"/>
    <w:rPr>
      <w:b/>
      <w:bCs/>
    </w:rPr>
  </w:style>
  <w:style w:type="character" w:customStyle="1" w:styleId="CommentSubjectChar">
    <w:name w:val="Comment Subject Char"/>
    <w:basedOn w:val="CommentTextChar"/>
    <w:link w:val="CommentSubject"/>
    <w:uiPriority w:val="99"/>
    <w:semiHidden/>
    <w:rsid w:val="00F64668"/>
    <w:rPr>
      <w:b/>
      <w:bCs/>
      <w:sz w:val="20"/>
      <w:szCs w:val="20"/>
    </w:rPr>
  </w:style>
  <w:style w:type="character" w:styleId="Hyperlink">
    <w:name w:val="Hyperlink"/>
    <w:basedOn w:val="DefaultParagraphFont"/>
    <w:uiPriority w:val="99"/>
    <w:unhideWhenUsed/>
    <w:rsid w:val="009E15F8"/>
    <w:rPr>
      <w:color w:val="0563C1" w:themeColor="hyperlink"/>
      <w:u w:val="single"/>
    </w:rPr>
  </w:style>
  <w:style w:type="character" w:styleId="UnresolvedMention">
    <w:name w:val="Unresolved Mention"/>
    <w:basedOn w:val="DefaultParagraphFont"/>
    <w:uiPriority w:val="99"/>
    <w:semiHidden/>
    <w:unhideWhenUsed/>
    <w:rsid w:val="009E1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ource.org/licenses"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ern-ohl.web.cern.ch"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creativecommons.org/share-your-work/cclicenses/"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creativecommons.org/licenses/by/4.0" TargetMode="External"/><Relationship Id="rId4" Type="http://schemas.openxmlformats.org/officeDocument/2006/relationships/footnotes" Target="footnotes.xml"/><Relationship Id="rId9" Type="http://schemas.openxmlformats.org/officeDocument/2006/relationships/hyperlink" Target="http://creativecommons.org/licenses/by/3.0/" TargetMode="Externa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1959</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vittorio saggiomo</cp:lastModifiedBy>
  <cp:revision>2</cp:revision>
  <dcterms:created xsi:type="dcterms:W3CDTF">2024-04-15T08:06:00Z</dcterms:created>
  <dcterms:modified xsi:type="dcterms:W3CDTF">2024-04-15T08:06:00Z</dcterms:modified>
  <dc:title>Open Educational ECG Acquisition and Data-Logging Platform Using AD8232 and ESP32-C3</dc:title>
  <dc:creator>Shreyas Ambati; Gaston Ravin Dias; Mohd Yazed bin Ahmad</dc:creator>
  <dc:subject>Journal of Open Hardware - Educational Hardware</dc:subject>
</cp:coreProperties>
</file>