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Комментаторские стратегии русских переводчиков санскритского эпоса</w:t>
      </w:r>
    </w:p>
    <w:bookmarkStart w:id="22" w:name="X359a139861e81e895f8fa4655820bce8ae736e1"/>
    <w:p>
      <w:pPr>
        <w:pStyle w:val="Heading1"/>
      </w:pPr>
      <w:r>
        <w:t xml:space="preserve">Комментаторские стратегии русских переводчиков санскритского эпоса</w:t>
      </w:r>
    </w:p>
    <w:bookmarkStart w:id="9" w:name="аннотация"/>
    <w:p>
      <w:pPr>
        <w:pStyle w:val="Heading2"/>
      </w:pPr>
      <w:r>
        <w:t xml:space="preserve">Аннотация</w:t>
      </w:r>
    </w:p>
    <w:p>
      <w:pPr>
        <w:pStyle w:val="FirstParagraph"/>
      </w:pPr>
      <w:r>
        <w:t xml:space="preserve">На материале 17 863 примечаний к русским переводам санскритского эпоса (1950–2014) предложена методология корпусного анализа индологического справочного аппарата. Разработана типология комментария по четырем параметрам: тематика, тип, функции объяснения (от глоссы до дискуссии) и статус терминов. Выявлены три переводческие стратегии, отражающие эволюцию академического комментария и его диалог с традиционным индийским толкованием в истории отечественного востоковедения.</w:t>
      </w:r>
    </w:p>
    <w:p>
      <w:pPr>
        <w:pStyle w:val="BodyText"/>
      </w:pPr>
      <w:r>
        <w:rPr>
          <w:b/>
          <w:bCs/>
        </w:rPr>
        <w:t xml:space="preserve">Ключевые слова:</w:t>
      </w:r>
      <w:r>
        <w:t xml:space="preserve"> </w:t>
      </w:r>
      <w:r>
        <w:t xml:space="preserve">переводческая стратегия, типология комментария, санскритский комментарий, академический комментарий, научный аппарат, параллельный корпус, методология корпусного анализа, глоссирование, кодификаторы, перевод с санскрита, древнеиндийский эпос, Махабхарата, Рамаяна, Сундараканда, история отечественного востоковедения.</w:t>
      </w:r>
    </w:p>
    <w:bookmarkEnd w:id="9"/>
    <w:bookmarkStart w:id="10" w:name="summary"/>
    <w:p>
      <w:pPr>
        <w:pStyle w:val="Heading2"/>
      </w:pPr>
      <w:r>
        <w:t xml:space="preserve">Summary</w:t>
      </w:r>
    </w:p>
    <w:p>
      <w:pPr>
        <w:pStyle w:val="FirstParagraph"/>
      </w:pPr>
      <w:r>
        <w:t xml:space="preserve">This article proposes a corpus-based methodology for investigating the scholarly apparatus of Indological publications, specifically focusing on the notes accompanying Russian translations of the ancient Indian epic. The study is based on a comprehensive sample from the Sanskrit-Russian Parallel Corpus (samskrtam.ru), encompassing 17,863 notes to the Mahābhārata, the Rāmāyaṇa (including the ongoing translation of the Sundarakāṇḍa), and the Upaniṣads (used as a contrasting background). The research treats the academic commentary as an independent object of study, establishing a typology based on four distinct parameters: thematic rubric, corpus-based nomenclatural type (grounded in traditional 19th-century classical philology), traditional Indian explanatory functions (vyākhyāna), and the categorical status of terms.</w:t>
      </w:r>
    </w:p>
    <w:p>
      <w:pPr>
        <w:pStyle w:val="BodyText"/>
      </w:pPr>
      <w:r>
        <w:t xml:space="preserve">The application of this four-parameter framework allows for the identification of three dominant translation strategies in the history of Russian Oriental studies. The first strategy, exemplified by V. I. Kal’yanov, focuses on brief philological and realia-based glossing (padārthokti). The second strategy, represented by Ya. V. Vassilkov, S. L. Neveleva, V. G. Erman, P. A. Grintser, and A. Ya. Syrkin, provides an expanded cultural-historical commentary characterized by argumentative discussion (ākṣepasamādhāna). The third strategy, observed in the recent work of M. V. Leonov, employs a multi-source comparative approach that establishes a dialogue between traditional Indian commentators (Tilaka, Bhūṣaṇa, Śiromaṇi) and Western academic editions.</w:t>
      </w:r>
    </w:p>
    <w:p>
      <w:pPr>
        <w:pStyle w:val="BodyText"/>
      </w:pPr>
      <w:r>
        <w:t xml:space="preserve">A key theoretical finding of the study is the identification of a systematic</w:t>
      </w:r>
      <w:r>
        <w:t xml:space="preserve"> </w:t>
      </w:r>
      <w:r>
        <w:t xml:space="preserve">“categorical gap”</w:t>
      </w:r>
      <w:r>
        <w:t xml:space="preserve">: while traditional Sanskrit commentaries operate with</w:t>
      </w:r>
      <w:r>
        <w:t xml:space="preserve"> </w:t>
      </w:r>
      <w:r>
        <w:t xml:space="preserve">“codifiers”</w:t>
      </w:r>
      <w:r>
        <w:t xml:space="preserve"> </w:t>
      </w:r>
      <w:r>
        <w:t xml:space="preserve">(terms that direct spiritual practice), the Russian academic tradition consistently treats Sanskrit terms as</w:t>
      </w:r>
      <w:r>
        <w:t xml:space="preserve"> </w:t>
      </w:r>
      <w:r>
        <w:t xml:space="preserve">“concepts”</w:t>
      </w:r>
      <w:r>
        <w:t xml:space="preserve"> </w:t>
      </w:r>
      <w:r>
        <w:t xml:space="preserve">within a Western philosophical framework. This distinction explains the historical distance between the academic apparatus and the traditional Indian commentarial</w:t>
      </w:r>
      <w:r>
        <w:t xml:space="preserve"> </w:t>
      </w:r>
      <w:r>
        <w:t xml:space="preserve">“vertical”</w:t>
      </w:r>
      <w:r>
        <w:t xml:space="preserve">. The article concludes that the parallel corpus serves as a vital environment for the coexistence of these diverse interpretive traditions.</w:t>
      </w:r>
    </w:p>
    <w:p>
      <w:pPr>
        <w:pStyle w:val="BodyText"/>
      </w:pPr>
      <w:r>
        <w:rPr>
          <w:b/>
          <w:bCs/>
        </w:rPr>
        <w:t xml:space="preserve">Keywords:</w:t>
      </w:r>
      <w:r>
        <w:t xml:space="preserve"> </w:t>
      </w:r>
      <w:r>
        <w:t xml:space="preserve">translation strategy, typology of commentary, Sanskrit commentary, academic commentary, scholarly apparatus, parallel corpus, corpus analysis methodology, glossing, codifiers, Sanskrit translation, ancient Indian epic, Mahābhārata, Rāmāyaṇa, Sundarakāṇḍa, history of Russian Oriental studies.</w:t>
      </w:r>
    </w:p>
    <w:p>
      <w:r>
        <w:pict>
          <v:rect style="width:0;height:1.5pt" o:hralign="center" o:hrstd="t" o:hr="t"/>
        </w:pict>
      </w:r>
    </w:p>
    <w:bookmarkEnd w:id="10"/>
    <w:bookmarkStart w:id="12" w:name="проблема-и-материал"/>
    <w:p>
      <w:pPr>
        <w:pStyle w:val="Heading2"/>
      </w:pPr>
      <w:r>
        <w:t xml:space="preserve">§1. Проблема и материал</w:t>
      </w:r>
    </w:p>
    <w:p>
      <w:pPr>
        <w:pStyle w:val="FirstParagraph"/>
      </w:pPr>
      <w:r>
        <w:t xml:space="preserve">В шестой книге Махабхараты — Бхишмапарве — есть небольшое место, где упоминаются воины, «искушенные в чтении Вед». Переводчик В. Г. Эрман не ограничился глоссой к слову</w:t>
      </w:r>
      <w:r>
        <w:t xml:space="preserve"> </w:t>
      </w:r>
      <w:r>
        <w:rPr>
          <w:i/>
          <w:iCs/>
        </w:rPr>
        <w:t xml:space="preserve">adhyāyana</w:t>
      </w:r>
      <w:r>
        <w:t xml:space="preserve"> </w:t>
      </w:r>
      <w:r>
        <w:t xml:space="preserve">(«ритуальное чтение»): он объяснил, что за этим чтением стоит магическое действие, и тут же привлек традиционного индийского комментатора Девабодху, у которого список «Вед» в данном месте неожиданно расширяется за счет «Дханурведы» — трактата о воинском искусстве. Примечание превратилось в небольшой диалог через эпохи: русский академический аппарат и средневековый санскритский</w:t>
      </w:r>
      <w:r>
        <w:t xml:space="preserve"> </w:t>
      </w:r>
      <w:r>
        <w:rPr>
          <w:i/>
          <w:iCs/>
        </w:rPr>
        <w:t xml:space="preserve">bhāṣya</w:t>
      </w:r>
      <w:r>
        <w:t xml:space="preserve"> </w:t>
      </w:r>
      <w:r>
        <w:t xml:space="preserve">заговорили об одном месте вместе.</w:t>
      </w:r>
      <w:r>
        <w:rPr>
          <w:rStyle w:val="FootnoteReference"/>
        </w:rPr>
        <w:footnoteReference w:id="11"/>
      </w:r>
    </w:p>
    <w:p>
      <w:pPr>
        <w:pStyle w:val="BodyText"/>
      </w:pPr>
      <w:r>
        <w:t xml:space="preserve">Этот случай — исключение. У большинства русских переводчиков санскритского эпоса диалог с индийской комментаторской традицией представлен исключительно фрагментарно. Нилакантха, чей комментарий к Махабхарате содержит десятки толкований на каждую главу, у В. И. Кальянова цитируется единично. Та же реалия, тот же термин, то же мифологическое имя — у одного переводчика получают однострочную глоссу, у другого — развернутую аналитическую справку с отсылкой к традиции, у третьего — место в системе сравнительных наблюдений сразу по нескольким источникам. Это различие не случайно и не сводится к личной манере. Оно отражает разные представления о том, кто такой читатель, что такое объяснение и каким образом санскритский текст вообще может быть понят на русском языке.</w:t>
      </w:r>
    </w:p>
    <w:p>
      <w:pPr>
        <w:pStyle w:val="BodyText"/>
      </w:pPr>
      <w:r>
        <w:t xml:space="preserve">Настоящая статья рассматривает переводческий комментарий как самостоятельный исследовательский материал: не вспомогательный аппарат к переводу, а источник, позволяющий установить, что именно переводчик считает требующим объяснения, какой тип знания он предполагает у читателя и с какой комментаторской традицией — индийской, европейской филологической или обеими одновременно — он соотносит санскритский текст. Систематическое описание примечаний как самостоятельного объекта анализа в отечественной индологии остается редкостью: переводы этого корпуса обычно характеризуются через качество самого перевода, полноту вступительной статьи или объем справочного аппарата. Такое описание, однако, оказывается слишком грубым: оно не позволяет различить, например, два примечания одинаковой длины, принадлежащих к принципиально разным стратегиям, — и именно поэтому различие между Я. В. Васильковым и П. А. Гринцером остается в существующей литературе незафиксированным, а это не просто различие между</w:t>
      </w:r>
      <w:r>
        <w:t xml:space="preserve"> </w:t>
      </w:r>
      <w:r>
        <w:t xml:space="preserve">“Махабхаратой”</w:t>
      </w:r>
      <w:r>
        <w:t xml:space="preserve"> </w:t>
      </w:r>
      <w:r>
        <w:t xml:space="preserve">и</w:t>
      </w:r>
      <w:r>
        <w:t xml:space="preserve"> </w:t>
      </w:r>
      <w:r>
        <w:t xml:space="preserve">“Рамаяной”</w:t>
      </w:r>
      <w:r>
        <w:t xml:space="preserve">.</w:t>
      </w:r>
    </w:p>
    <w:p>
      <w:pPr>
        <w:pStyle w:val="BodyText"/>
      </w:pPr>
      <w:r>
        <w:t xml:space="preserve">Задача настоящей статьи — предложить параметры, продуктивные для такого описания, и применить их к полному корпусу из 17 863 примечаний, агрегированных в техническом репозитории</w:t>
      </w:r>
      <w:r>
        <w:t xml:space="preserve"> </w:t>
      </w:r>
      <w:r>
        <w:rPr>
          <w:i/>
          <w:iCs/>
        </w:rPr>
        <w:t xml:space="preserve">CommentaryStrategies</w:t>
      </w:r>
      <w:r>
        <w:t xml:space="preserve">. В корпус вошли примечания В. И. Кальянова к книгам I, II, IV, V, VII, IX Махабхараты (Kal’yanov 1950–1996), насчитывающие 7 424 примечания; Я. В. Василькова и С. Л. Невелевой к книгам III, VIII, X–XI, XIV–XVIII (Vassilkov, Neveleva 1987–2005), включающие 5 574 примечания; В. Г. Эрмана к книге VI «Бхишмапарва» (Erman 2009), содержащие 758 примечаний; П. А. Гринцера к книгам I–III Рамаяны (Grintser 2006, 2014), состоящие из 2 245 примечаний; А. Я. Сыркина к упанишадам (Syrkin 1992), включающие 1 621 примечание. Материал упанишад привлекается в данном исследовании исключительно как контрастный фон для сравнения с эпическим материалом. Объемы корпусов существенно различаются, и это различие следует учитывать при чтении любых процентных данных: данные по Кальянову (7 424) и Василькову–Невелевой (5 574) допускают статистические обобщения; данные по Эрману (758) и Сыркину (1 621) следует использовать с осторожностью. Перевод Леонова является источником иного типа — незавершенным и лишенным редакционной фиксации — и рассматривается отдельно. Соответствующие цифры в §3 приводятся с указанием степени надежности. Единицей анализа является отдельное примечание; в случаях, когда одно примечание совмещает несколько функций, ему может соответствовать несколько меток. Критерии разграничения сложных примечаний фиксированы в репозитории, однако воспроизводимость разметки независимым исследователем специальной верификации пока не получила.</w:t>
      </w:r>
    </w:p>
    <w:p>
      <w:pPr>
        <w:pStyle w:val="BodyText"/>
      </w:pPr>
      <w:r>
        <w:t xml:space="preserve">Здесь необходимо оговорить существенное методологическое обстоятельство. Кальянов комментирует книги I, II, IV, V, VII, IX Махабхараты; Васильков и Невелева — книги III, VIII, X–XI, XIV–XVIII. Пересечения нет. Сравниваемые стратегии, таким образом, приложены к материально разным книгам эпоса, которые порой объективно различаются по жанру, плотности реалий и нарративной структуре. Наблюдаемое расхождение стратегий может отчасти определяться различием самого материала, а не только переводческим выбором; этот вопрос требует специального исследования на пересекающемся корпусе.</w:t>
      </w:r>
    </w:p>
    <w:p>
      <w:pPr>
        <w:pStyle w:val="BodyText"/>
      </w:pPr>
      <w:r>
        <w:t xml:space="preserve">Отдельно привлекается продолжающийся перевод Сундараканды М. В. Леонова (литературный редактор Е. А. Костина) — черновик рукописи для</w:t>
      </w:r>
      <w:r>
        <w:t xml:space="preserve"> </w:t>
      </w:r>
      <w:r>
        <w:t xml:space="preserve">“Литературных памятников”</w:t>
      </w:r>
      <w:r>
        <w:t xml:space="preserve">, не входящий в основные 17 863 примечания.</w:t>
      </w:r>
    </w:p>
    <w:p>
      <w:pPr>
        <w:pStyle w:val="BodyText"/>
      </w:pPr>
      <w:r>
        <w:t xml:space="preserve">В теоретическом отношении статья опирается на три линии. Первая — работа Н. Н. Казанского о проблемах комментирования в русско-латинском параллельном корпусе (Kazansky 2025: 857–873), интересная нам в связи с разработкой Параллельного санскритско-русского корпуса под эгидой Общества ревнителей санскрита (2013–2026). Вторая — исследование Н. Р. Лидовой о комментарии в Древней Индии (Lidova 2024: 31–66), где показано, что санскритский коренной текст традиционно воспринимается как принципиально нечитаемый без сопровождающего объяснения: достаточно вспомнить, что отдельных изданий «Йога-сутр» без комментария в индийской рукописной и печатной традиции практически не существует. Именно это наблюдение окажется важным в §3, когда речь пойдет о том, почему академический аппарат к русским переводам санскрита систематически держится на дистанции от индийской комментаторской вертикали — это не случайное или невольное упущение, а следствие иного жанрового горизонта. Третья линия восходит к исследованиям А. В. Парибка о смысловом статусе санскритских терминов в шастрических текстах (Paribok 2007; 2011).</w:t>
      </w:r>
    </w:p>
    <w:p>
      <w:pPr>
        <w:pStyle w:val="BodyText"/>
      </w:pPr>
      <w:r>
        <w:t xml:space="preserve">Совместное прочтение этих трех линий позволяет прочитать накопленную традицию как систематический ответ на двойной долг: переводчик-индолог наследует одновременно индийскую комментаторскую традицию — где комментарий есть самостоятельный жанр и условие читаемости текста — и европейскую филологическую, где комментарий есть вспомогательный аппарат к корпусу. Переводческое примечание в каждой шлоке есть гибрид: оно реализует или замещает функции</w:t>
      </w:r>
      <w:r>
        <w:t xml:space="preserve"> </w:t>
      </w:r>
      <w:r>
        <w:rPr>
          <w:i/>
          <w:iCs/>
        </w:rPr>
        <w:t xml:space="preserve">bhāṣya</w:t>
      </w:r>
      <w:r>
        <w:t xml:space="preserve"> </w:t>
      </w:r>
      <w:r>
        <w:t xml:space="preserve">и</w:t>
      </w:r>
      <w:r>
        <w:t xml:space="preserve"> </w:t>
      </w:r>
      <w:r>
        <w:rPr>
          <w:i/>
          <w:iCs/>
        </w:rPr>
        <w:t xml:space="preserve">ṭīkā</w:t>
      </w:r>
      <w:r>
        <w:t xml:space="preserve">, но в формальных рамках европейского научного издания. Различие стратегий, описываемых в §§2–3, — это разные конфигурации этого гибрида.</w:t>
      </w:r>
    </w:p>
    <w:bookmarkEnd w:id="12"/>
    <w:bookmarkStart w:id="16" w:name="X26568d0224ffb4183d6351a220a303f0f70eff6"/>
    <w:p>
      <w:pPr>
        <w:pStyle w:val="Heading2"/>
      </w:pPr>
      <w:r>
        <w:t xml:space="preserve">§2. Параметры анализа переводческого комментария</w:t>
      </w:r>
    </w:p>
    <w:p>
      <w:pPr>
        <w:pStyle w:val="FirstParagraph"/>
      </w:pPr>
      <w:r>
        <w:t xml:space="preserve">Чтобы описать различие между примечанием-глоссой и примечанием-</w:t>
      </w:r>
      <w:r>
        <w:rPr>
          <w:i/>
          <w:iCs/>
        </w:rPr>
        <w:t xml:space="preserve">bhāṣya</w:t>
      </w:r>
      <w:r>
        <w:t xml:space="preserve">, нужно понять, по каким осям они расходятся. Это расхождение не сводится к длине или к количеству ссылок: краткое примечание может выполнять сложную функцию, а длинное — оставаться набором энциклопедических справок. Потребовалась система из четырех параметров, которые вместе позволяют описать не объем, а тип комментаторской работы.</w:t>
      </w:r>
    </w:p>
    <w:p>
      <w:pPr>
        <w:pStyle w:val="BodyText"/>
      </w:pPr>
      <w:r>
        <w:rPr>
          <w:i/>
          <w:iCs/>
        </w:rPr>
        <w:t xml:space="preserve">Первый параметр</w:t>
      </w:r>
      <w:r>
        <w:t xml:space="preserve"> </w:t>
      </w:r>
      <w:r>
        <w:t xml:space="preserve">— тематический. В рабочей разметке репозитория используются восемь рубрик: санскритский термин или перевод (</w:t>
      </w:r>
      <w:r>
        <w:rPr>
          <w:i/>
          <w:iCs/>
        </w:rPr>
        <w:t xml:space="preserve">dharma</w:t>
      </w:r>
      <w:r>
        <w:t xml:space="preserve">,</w:t>
      </w:r>
      <w:r>
        <w:t xml:space="preserve"> </w:t>
      </w:r>
      <w:r>
        <w:rPr>
          <w:i/>
          <w:iCs/>
        </w:rPr>
        <w:t xml:space="preserve">karma</w:t>
      </w:r>
      <w:r>
        <w:t xml:space="preserve">); миф или персонаж (Индра, Нарада); контекст или нарратив (указание на предшествующий эпизод); культурная реалия (описание жертвоприношения, типа колесницы); география или этноним (Курукшетра, куру); отсылка (к другой парве или параллельному месту); текстология (выбор чтения по критическому изданию); философия или религия (концепция</w:t>
      </w:r>
      <w:r>
        <w:t xml:space="preserve"> </w:t>
      </w:r>
      <w:r>
        <w:rPr>
          <w:i/>
          <w:iCs/>
        </w:rPr>
        <w:t xml:space="preserve">mokṣa</w:t>
      </w:r>
      <w:r>
        <w:t xml:space="preserve">, доктрина</w:t>
      </w:r>
      <w:r>
        <w:t xml:space="preserve"> </w:t>
      </w:r>
      <w:r>
        <w:rPr>
          <w:i/>
          <w:iCs/>
        </w:rPr>
        <w:t xml:space="preserve">ahiṃsā</w:t>
      </w:r>
      <w:r>
        <w:t xml:space="preserve">). Таксономия выведена М. Ю. Гасунсом эмпирически и, вероятно, не является окончательной, поскольку предписания дхармашастр или отсылки к параллельным местам с трудом укладываются ровно в одну рубрику.</w:t>
      </w:r>
    </w:p>
    <w:p>
      <w:pPr>
        <w:pStyle w:val="BodyText"/>
      </w:pPr>
      <w:r>
        <w:rPr>
          <w:i/>
          <w:iCs/>
        </w:rPr>
        <w:t xml:space="preserve">Второй параметр</w:t>
      </w:r>
      <w:r>
        <w:t xml:space="preserve"> </w:t>
      </w:r>
      <w:r>
        <w:t xml:space="preserve">соотносит эти рубрики с типологией, которой придерживается Н. Н. Казанский для русско-латинского параллельного корпуса (Kazansky 2025)</w:t>
      </w:r>
      <w:r>
        <w:rPr>
          <w:rStyle w:val="FootnoteReference"/>
        </w:rPr>
        <w:footnoteReference w:id="13"/>
      </w:r>
      <w:r>
        <w:t xml:space="preserve">. Выделяются четыре уровня: филологический (этимологии, грамматические пояснения, метрика, поэтические фигуры, разночтения); реальный (предметы, институты, социальные формы); исторический (датировка, редакции, связь с историческими условиями); культурологический (религиозные, философские, мифологические и рецептивные контексты). Этот параметр важен не только сам по себе: он обеспечивает сопоставимость индологического корпуса с античным материалом.</w:t>
      </w:r>
    </w:p>
    <w:p>
      <w:pPr>
        <w:pStyle w:val="BodyText"/>
      </w:pPr>
      <w:r>
        <w:rPr>
          <w:i/>
          <w:iCs/>
        </w:rPr>
        <w:t xml:space="preserve">Третий параметр</w:t>
      </w:r>
      <w:r>
        <w:t xml:space="preserve"> </w:t>
      </w:r>
      <w:r>
        <w:t xml:space="preserve">восходит к традиционной индийской формуле пяти признаков объяснения, засвидетельствованной в</w:t>
      </w:r>
      <w:r>
        <w:t xml:space="preserve"> </w:t>
      </w:r>
      <w:r>
        <w:rPr>
          <w:i/>
          <w:iCs/>
        </w:rPr>
        <w:t xml:space="preserve">Nyāyakośa</w:t>
      </w:r>
      <w:r>
        <w:t xml:space="preserve"> </w:t>
      </w:r>
      <w:r>
        <w:t xml:space="preserve">со ссылкой на</w:t>
      </w:r>
      <w:r>
        <w:t xml:space="preserve"> </w:t>
      </w:r>
      <w:r>
        <w:rPr>
          <w:i/>
          <w:iCs/>
        </w:rPr>
        <w:t xml:space="preserve">Parāśarapurāṇa</w:t>
      </w:r>
      <w:r>
        <w:t xml:space="preserve"> </w:t>
      </w:r>
      <w:r>
        <w:t xml:space="preserve">и подробно описанной Н. Р. Лидовой в ее недавней работе о комментарии в Древней Индии (Lidova 2024: 31–66). Прежде чем перечислить все пять, полезно сразу сказать, зачем здесь нужны санскритские термины, а не просто «глосса» и «дискуссионный комментарий». Дело в том, что «дискуссионный» слишком широко: под него подпадают и полемическая сноска, и энциклопедическая справка с альтернативными мнениями. Санскритский термин</w:t>
      </w:r>
      <w:r>
        <w:t xml:space="preserve"> </w:t>
      </w:r>
      <w:r>
        <w:rPr>
          <w:i/>
          <w:iCs/>
        </w:rPr>
        <w:t xml:space="preserve">ākṣepasamādhāna</w:t>
      </w:r>
      <w:r>
        <w:t xml:space="preserve"> </w:t>
      </w:r>
      <w:r>
        <w:t xml:space="preserve">— букв. «возражение и ответ на него» — точнее: он требует, чтобы в примечании был не просто другой взгляд, а именно структура «вот трудность — вот ее разрешение». Грубо говоря,</w:t>
      </w:r>
      <w:r>
        <w:t xml:space="preserve"> </w:t>
      </w:r>
      <w:r>
        <w:rPr>
          <w:i/>
          <w:iCs/>
        </w:rPr>
        <w:t xml:space="preserve">padārthokti</w:t>
      </w:r>
      <w:r>
        <w:t xml:space="preserve"> </w:t>
      </w:r>
      <w:r>
        <w:t xml:space="preserve">отвечает на вопрос «что это слово значит»,</w:t>
      </w:r>
      <w:r>
        <w:t xml:space="preserve"> </w:t>
      </w:r>
      <w:r>
        <w:rPr>
          <w:i/>
          <w:iCs/>
        </w:rPr>
        <w:t xml:space="preserve">ākṣepasamādhāna</w:t>
      </w:r>
      <w:r>
        <w:t xml:space="preserve"> </w:t>
      </w:r>
      <w:r>
        <w:t xml:space="preserve">— на вопрос «а почему именно так, а не иначе». Разница принципиальная: одно примечание сообщает факт, другое ведет дискуссию. Полная формула включает пять признаков:</w:t>
      </w:r>
      <w:r>
        <w:t xml:space="preserve"> </w:t>
      </w:r>
      <w:r>
        <w:rPr>
          <w:i/>
          <w:iCs/>
        </w:rPr>
        <w:t xml:space="preserve">padaccheda</w:t>
      </w:r>
      <w:r>
        <w:t xml:space="preserve"> </w:t>
      </w:r>
      <w:r>
        <w:t xml:space="preserve">— словоразделение и разрешение</w:t>
      </w:r>
      <w:r>
        <w:t xml:space="preserve"> </w:t>
      </w:r>
      <w:r>
        <w:rPr>
          <w:i/>
          <w:iCs/>
        </w:rPr>
        <w:t xml:space="preserve">sandhi</w:t>
      </w:r>
      <w:r>
        <w:t xml:space="preserve">;</w:t>
      </w:r>
      <w:r>
        <w:t xml:space="preserve"> </w:t>
      </w:r>
      <w:r>
        <w:rPr>
          <w:i/>
          <w:iCs/>
        </w:rPr>
        <w:t xml:space="preserve">padārthokti</w:t>
      </w:r>
      <w:r>
        <w:t xml:space="preserve"> </w:t>
      </w:r>
      <w:r>
        <w:t xml:space="preserve">— указание значения слова</w:t>
      </w:r>
      <w:r>
        <w:rPr>
          <w:rStyle w:val="FootnoteReference"/>
        </w:rPr>
        <w:footnoteReference w:id="14"/>
      </w:r>
      <w:r>
        <w:t xml:space="preserve">;</w:t>
      </w:r>
      <w:r>
        <w:t xml:space="preserve"> </w:t>
      </w:r>
      <w:r>
        <w:rPr>
          <w:i/>
          <w:iCs/>
        </w:rPr>
        <w:t xml:space="preserve">vigraha</w:t>
      </w:r>
      <w:r>
        <w:t xml:space="preserve"> </w:t>
      </w:r>
      <w:r>
        <w:t xml:space="preserve">— анализ сложных слов, или самас;</w:t>
      </w:r>
      <w:r>
        <w:t xml:space="preserve"> </w:t>
      </w:r>
      <w:r>
        <w:rPr>
          <w:i/>
          <w:iCs/>
        </w:rPr>
        <w:t xml:space="preserve">vākyayojanā</w:t>
      </w:r>
      <w:r>
        <w:t xml:space="preserve"> </w:t>
      </w:r>
      <w:r>
        <w:t xml:space="preserve">— установление синтаксической связи слов в предложении;</w:t>
      </w:r>
      <w:r>
        <w:t xml:space="preserve"> </w:t>
      </w:r>
      <w:r>
        <w:rPr>
          <w:i/>
          <w:iCs/>
        </w:rPr>
        <w:t xml:space="preserve">ākṣepasamādhāna</w:t>
      </w:r>
      <w:r>
        <w:t xml:space="preserve"> </w:t>
      </w:r>
      <w:r>
        <w:t xml:space="preserve">— постановку возможного возражения и ответ на него. Первые четыре функции относятся к глоссированию слов текста и составляют основной объем комментария к литературному произведению; пятая,</w:t>
      </w:r>
      <w:r>
        <w:t xml:space="preserve"> </w:t>
      </w:r>
      <w:r>
        <w:rPr>
          <w:i/>
          <w:iCs/>
        </w:rPr>
        <w:t xml:space="preserve">ākṣepasamādhāna</w:t>
      </w:r>
      <w:r>
        <w:t xml:space="preserve">, представляет собой переход от глоссирования к обсуждению идей и закрепилась прежде всего в философской и научной литературе (Tubb, Boose 2007: 4–6).</w:t>
      </w:r>
    </w:p>
    <w:p>
      <w:pPr>
        <w:pStyle w:val="BodyText"/>
      </w:pPr>
      <w:r>
        <w:t xml:space="preserve">Применение этой формулы к переводческому примечанию требует одной методологической оговорки. Формула</w:t>
      </w:r>
      <w:r>
        <w:t xml:space="preserve"> </w:t>
      </w:r>
      <w:r>
        <w:rPr>
          <w:i/>
          <w:iCs/>
        </w:rPr>
        <w:t xml:space="preserve">vyākhyāna</w:t>
      </w:r>
      <w:r>
        <w:t xml:space="preserve"> </w:t>
      </w:r>
      <w:r>
        <w:t xml:space="preserve">описывает традиционный санскритский ученый комментарий —</w:t>
      </w:r>
      <w:r>
        <w:t xml:space="preserve"> </w:t>
      </w:r>
      <w:r>
        <w:rPr>
          <w:i/>
          <w:iCs/>
        </w:rPr>
        <w:t xml:space="preserve">bhāṣya</w:t>
      </w:r>
      <w:r>
        <w:t xml:space="preserve">,</w:t>
      </w:r>
      <w:r>
        <w:t xml:space="preserve"> </w:t>
      </w:r>
      <w:r>
        <w:rPr>
          <w:i/>
          <w:iCs/>
        </w:rPr>
        <w:t xml:space="preserve">ṭīkā</w:t>
      </w:r>
      <w:r>
        <w:t xml:space="preserve">,</w:t>
      </w:r>
      <w:r>
        <w:t xml:space="preserve"> </w:t>
      </w:r>
      <w:r>
        <w:rPr>
          <w:i/>
          <w:iCs/>
        </w:rPr>
        <w:t xml:space="preserve">vṛtti</w:t>
      </w:r>
      <w:r>
        <w:t xml:space="preserve"> </w:t>
      </w:r>
      <w:r>
        <w:t xml:space="preserve">— и адресована читателю, для которого санскрит является языком школьной грамоты. Переводческое примечание в «Литературных памятниках» обращено к совершенно иному читателю и не предполагает никакого технического минимума. Перенос формулы на академическую сноску тем не менее продуктивен: он позволяет выявить,</w:t>
      </w:r>
      <w:r>
        <w:t xml:space="preserve"> </w:t>
      </w:r>
      <w:r>
        <w:rPr>
          <w:i/>
          <w:iCs/>
        </w:rPr>
        <w:t xml:space="preserve">какую часть</w:t>
      </w:r>
      <w:r>
        <w:t xml:space="preserve"> </w:t>
      </w:r>
      <w:r>
        <w:t xml:space="preserve">традиционного объяснительного репертуара переводчик воспроизводит — пусть неосознанно — в условиях принципиально иного жанра. Иначе говоря, формула используется здесь как система сравнительных координат, а не как описание жанра. Альтернативная типология — паратекстология Ж. Женетта — также применима к переводческому комментарию, однако она описывает пространственно-институциональные отношения между текстом и его обрамлением, тогда как здесь нас интересует структура самого объяснительного хода внутри отдельного примечания.</w:t>
      </w:r>
    </w:p>
    <w:p>
      <w:pPr>
        <w:pStyle w:val="BodyText"/>
      </w:pPr>
      <w:r>
        <w:rPr>
          <w:i/>
          <w:iCs/>
        </w:rPr>
        <w:t xml:space="preserve">Четвертый параметр</w:t>
      </w:r>
      <w:r>
        <w:t xml:space="preserve"> </w:t>
      </w:r>
      <w:r>
        <w:t xml:space="preserve">связан с исследованиями петербургского санскритолога А. В. Парибка. Согласно его наблюдениям, часть шастрической лексики функционирует как кодификатор направления деятельности — знак, включенный в практику изменения субъекта, а не только в систему обозначения (Paribok 2011: 80–86). Поэтому перевод</w:t>
      </w:r>
      <w:r>
        <w:t xml:space="preserve"> </w:t>
      </w:r>
      <w:r>
        <w:rPr>
          <w:i/>
          <w:iCs/>
        </w:rPr>
        <w:t xml:space="preserve">dharma</w:t>
      </w:r>
      <w:r>
        <w:t xml:space="preserve"> </w:t>
      </w:r>
      <w:r>
        <w:t xml:space="preserve">как «закон» или</w:t>
      </w:r>
      <w:r>
        <w:t xml:space="preserve"> </w:t>
      </w:r>
      <w:r>
        <w:rPr>
          <w:i/>
          <w:iCs/>
        </w:rPr>
        <w:t xml:space="preserve">karma</w:t>
      </w:r>
      <w:r>
        <w:t xml:space="preserve"> </w:t>
      </w:r>
      <w:r>
        <w:t xml:space="preserve">как «судьба» может быть проблематичен не семантически, а категориально: переводчик ищет понятие там, где в санскрите — кодификатор. Между этими двумя полюсами находится промежуточный тип —</w:t>
      </w:r>
      <w:r>
        <w:t xml:space="preserve"> </w:t>
      </w:r>
      <w:r>
        <w:rPr>
          <w:i/>
          <w:iCs/>
        </w:rPr>
        <w:t xml:space="preserve">концепт</w:t>
      </w:r>
      <w:r>
        <w:t xml:space="preserve"> </w:t>
      </w:r>
      <w:r>
        <w:t xml:space="preserve">(К): рыхлое рефлексивное содержание, которое проявляется не в точном понятийном разграничении, а в одобрении или неодобрении определенного поведения. Когда Эрман или Сыркин признают «рыхлость» семантики термина</w:t>
      </w:r>
      <w:r>
        <w:t xml:space="preserve"> </w:t>
      </w:r>
      <w:r>
        <w:rPr>
          <w:i/>
          <w:iCs/>
        </w:rPr>
        <w:t xml:space="preserve">dharma</w:t>
      </w:r>
      <w:r>
        <w:t xml:space="preserve"> </w:t>
      </w:r>
      <w:r>
        <w:t xml:space="preserve">или</w:t>
      </w:r>
      <w:r>
        <w:t xml:space="preserve"> </w:t>
      </w:r>
      <w:r>
        <w:rPr>
          <w:i/>
          <w:iCs/>
        </w:rPr>
        <w:t xml:space="preserve">ātman</w:t>
      </w:r>
      <w:r>
        <w:t xml:space="preserve"> </w:t>
      </w:r>
      <w:r>
        <w:t xml:space="preserve">и дают несколько вариантных значений, они работают именно с концептом — не глоссируют понятие и не программируют изменение субъекта, а развертывают семантическое поле. Это не означает, что санскритский термин всегда должен оставаться без перевода</w:t>
      </w:r>
      <w:r>
        <w:rPr>
          <w:rStyle w:val="FootnoteReference"/>
        </w:rPr>
        <w:footnoteReference w:id="15"/>
      </w:r>
      <w:r>
        <w:t xml:space="preserve">; но в случаях категориального несовпадения перевод должен сопровождаться особым комментарием.</w:t>
      </w:r>
    </w:p>
    <w:p>
      <w:pPr>
        <w:pStyle w:val="BodyText"/>
      </w:pPr>
      <w:r>
        <w:t xml:space="preserve">Можно показать, как четыре параметра работают в паре. Географическое пояснение Кальянова к реке Икшумати — «название реки Калинади, которая течет через Камаон, Рохилькханд и район Канаудж и впадает в Гангу» (Kal’yanov 1950: 632) — это рубрика географии, реальный тип, функция</w:t>
      </w:r>
      <w:r>
        <w:t xml:space="preserve"> </w:t>
      </w:r>
      <w:r>
        <w:rPr>
          <w:i/>
          <w:iCs/>
        </w:rPr>
        <w:t xml:space="preserve">padārthokti</w:t>
      </w:r>
      <w:r>
        <w:t xml:space="preserve">, обычная номинация. Примечание Эрмана к «искушенным в чтении Вед» — это рубрика культурной реалии, культурологический тип, функция</w:t>
      </w:r>
      <w:r>
        <w:t xml:space="preserve"> </w:t>
      </w:r>
      <w:r>
        <w:rPr>
          <w:i/>
          <w:iCs/>
        </w:rPr>
        <w:t xml:space="preserve">ākṣepasamādhāna</w:t>
      </w:r>
      <w:r>
        <w:t xml:space="preserve"> </w:t>
      </w:r>
      <w:r>
        <w:t xml:space="preserve">(за счет ссылки на Девабодху) и вопрос о категориальном статусе</w:t>
      </w:r>
      <w:r>
        <w:t xml:space="preserve"> </w:t>
      </w:r>
      <w:r>
        <w:rPr>
          <w:i/>
          <w:iCs/>
        </w:rPr>
        <w:t xml:space="preserve">adhyāyana</w:t>
      </w:r>
      <w:r>
        <w:t xml:space="preserve">. Два примечания сравнимой длины — совершенно разные по структуре комментаторской работы. Отнесение примечания Кальянова к</w:t>
      </w:r>
      <w:r>
        <w:t xml:space="preserve"> </w:t>
      </w:r>
      <w:r>
        <w:rPr>
          <w:i/>
          <w:iCs/>
        </w:rPr>
        <w:t xml:space="preserve">padārthokti</w:t>
      </w:r>
      <w:r>
        <w:t xml:space="preserve"> </w:t>
      </w:r>
      <w:r>
        <w:t xml:space="preserve">не вызывает сомнений: здесь нет ни возражения, ни структуры «трудность — разрешение», альтернативной интерпретации нет. Квалификация примечания Эрмана как полного</w:t>
      </w:r>
      <w:r>
        <w:t xml:space="preserve"> </w:t>
      </w:r>
      <w:r>
        <w:rPr>
          <w:i/>
          <w:iCs/>
        </w:rPr>
        <w:t xml:space="preserve">ākṣepasamādhāna</w:t>
      </w:r>
      <w:r>
        <w:t xml:space="preserve"> </w:t>
      </w:r>
      <w:r>
        <w:t xml:space="preserve">более интерпретативна — само по себе упоминание Девабодхи еще не гарантирует дискуссионного хода, — однако наличие структуры «магическое действие → авторитетный источник → расширение значения» делает эту квалификацию надежной, а не только возможной.</w:t>
      </w:r>
    </w:p>
    <w:p>
      <w:pPr>
        <w:pStyle w:val="BodyText"/>
      </w:pPr>
      <w:r>
        <w:t xml:space="preserve">Граница между двумя функциями может быть показана и от противного. Примечание вида «</w:t>
      </w:r>
      <w:r>
        <w:rPr>
          <w:i/>
          <w:iCs/>
        </w:rPr>
        <w:t xml:space="preserve">adhyāyana</w:t>
      </w:r>
      <w:r>
        <w:t xml:space="preserve"> </w:t>
      </w:r>
      <w:r>
        <w:t xml:space="preserve">— ритуальное чтение Вед» является чистым</w:t>
      </w:r>
      <w:r>
        <w:t xml:space="preserve"> </w:t>
      </w:r>
      <w:r>
        <w:rPr>
          <w:i/>
          <w:iCs/>
        </w:rPr>
        <w:t xml:space="preserve">padārthokti</w:t>
      </w:r>
      <w:r>
        <w:t xml:space="preserve">: оно называет значение термина и на этом останавливается. Примечание вида</w:t>
      </w:r>
      <w:r>
        <w:t xml:space="preserve"> </w:t>
      </w:r>
      <w:r>
        <w:rPr>
          <w:i/>
          <w:iCs/>
        </w:rPr>
        <w:t xml:space="preserve">«</w:t>
      </w:r>
      <w:r>
        <w:t xml:space="preserve">adhyāyana* — ритуальное чтение Вед; однако в данном контексте следует, по-видимому, понимать термин в расширенном смысле» было бы попыткой перейти к</w:t>
      </w:r>
      <w:r>
        <w:t xml:space="preserve"> </w:t>
      </w:r>
      <w:r>
        <w:rPr>
          <w:i/>
          <w:iCs/>
        </w:rPr>
        <w:t xml:space="preserve">ākṣepasamādhāna</w:t>
      </w:r>
      <w:r>
        <w:t xml:space="preserve"> </w:t>
      </w:r>
      <w:r>
        <w:t xml:space="preserve">без доказательства: возражение намечено, ответа нет. Именно потому, что Эрман привлекает авторитет Девабодхи и устанавливает расширение списка через традиционный источник, его примечание является полным</w:t>
      </w:r>
      <w:r>
        <w:t xml:space="preserve"> </w:t>
      </w:r>
      <w:r>
        <w:rPr>
          <w:i/>
          <w:iCs/>
        </w:rPr>
        <w:t xml:space="preserve">ākṣepasamādhāna</w:t>
      </w:r>
      <w:r>
        <w:t xml:space="preserve">, а не его имитацией. Этот пример сам по себе еще не является решающим свидетельством; необходим анализ всей совокупности показаний корпуса.</w:t>
      </w:r>
    </w:p>
    <w:p>
      <w:pPr>
        <w:pStyle w:val="BodyText"/>
      </w:pPr>
      <w:r>
        <w:t xml:space="preserve">Итак, смысл третьего параметра не в том, что одни примечания длиннее, а другие короче, — а в том, что одни ведут читателя к факту, другие приглашают его к рассуждению. Именно это различие и позволяет разграничить стратегии там, где объем и тематика совпадают.</w:t>
      </w:r>
    </w:p>
    <w:bookmarkEnd w:id="16"/>
    <w:bookmarkStart w:id="18" w:name="основные-типы-переводческого-комментария"/>
    <w:p>
      <w:pPr>
        <w:pStyle w:val="Heading2"/>
      </w:pPr>
      <w:r>
        <w:t xml:space="preserve">§3. Основные типы переводческого комментария</w:t>
      </w:r>
    </w:p>
    <w:p>
      <w:pPr>
        <w:pStyle w:val="FirstParagraph"/>
      </w:pPr>
      <w:r>
        <w:t xml:space="preserve">Прежде чем приступить к сравнению, необходимо уточнить, что здесь понимается под «стратегией». Если сказать совсем коротко: стратегия — это устойчивый способ отвечать на вопрос «что читатель должен вынести из этого примечания». Один переводчик систематически отвечает: «вот что означает это слово» — и останавливается. Другой отвечает: «вот что означает это слово, и вот почему стандартное понимание здесь недостаточно». Это различие воспроизводится не в одном примечании, а от книги к книге, независимо от конкретного эпоса или фрагмента памятника. Именно такое устойчивое сочетание — по всем четырем параметрам сразу — и называется здесь стратегией. Речь идет не об индивидуальной манере в биографическом смысле, а о типе отношения к читателю, к тексту оригинала и к комментаторской традиции, которое можно зафиксировать корпусным способом. Именно поэтому два переводчика, работающие в одной серии и для одного издательства, например</w:t>
      </w:r>
      <w:r>
        <w:t xml:space="preserve"> </w:t>
      </w:r>
      <w:r>
        <w:t xml:space="preserve">“Наука”</w:t>
      </w:r>
      <w:r>
        <w:t xml:space="preserve"> </w:t>
      </w:r>
      <w:r>
        <w:t xml:space="preserve">или</w:t>
      </w:r>
      <w:r>
        <w:t xml:space="preserve"> </w:t>
      </w:r>
      <w:r>
        <w:t xml:space="preserve">“Восточная литература”</w:t>
      </w:r>
      <w:r>
        <w:t xml:space="preserve">, могут принадлежать к разным стратегиям.</w:t>
      </w:r>
    </w:p>
    <w:p>
      <w:pPr>
        <w:pStyle w:val="BodyText"/>
      </w:pPr>
      <w:r>
        <w:rPr>
          <w:i/>
          <w:iCs/>
        </w:rPr>
        <w:t xml:space="preserve">Краткий филолого-реальный комментарий.</w:t>
      </w:r>
      <w:r>
        <w:t xml:space="preserve"> </w:t>
      </w:r>
      <w:r>
        <w:t xml:space="preserve">Наиболее последовательно эта стратегия представлена у В. И. Кальянова — одного из основоположников русской академической индологии послевоенного времени, переводившего Махабхарату с 1950 по 1996 год</w:t>
      </w:r>
      <w:r>
        <w:rPr>
          <w:rStyle w:val="FootnoteReference"/>
        </w:rPr>
        <w:footnoteReference w:id="17"/>
      </w:r>
      <w:r>
        <w:t xml:space="preserve">. Около 51,5 % его примечаний сосредоточены в рубрике «санскритский термин или перевод»; средняя длина примечания — 160 знаков (считается с пробелами, без сносочных отсылок; этот же принцип применяется ко всем переводчикам корпуса), доля записей с IAST-транслитерацией — 66 %. Аппарат составляют преимущественно глоссы к санскритским словам, топонимам, реалиям и персонажам — до 80 % всех примечаний по предварительным подсчетам. Примечание дает русское пояснение, иногда с IAST-формой — у Кальянова транслитерация дублирует деванагари в французском начертании Шлегеля; в терминах традиционных функций здесь безусловно преобладает</w:t>
      </w:r>
      <w:r>
        <w:t xml:space="preserve"> </w:t>
      </w:r>
      <w:r>
        <w:rPr>
          <w:i/>
          <w:iCs/>
        </w:rPr>
        <w:t xml:space="preserve">padārthokti</w:t>
      </w:r>
      <w:r>
        <w:t xml:space="preserve">, дискуссионный уровень появляется исключительно редко. Диалог с индийской комментаторской вертикалью почти отсутствует. Интересно, что это не выглядит как пробел на фоне тогдашней советской индологии: Кальянов работал в эпоху, когда санскритология в СССР только выходила из-под идеологического давления, требовавшего «материалистического» прочтения эпоса, и выстраивание диалога с традиционными индуистскими комментаторами в таком контексте было затруднено и методологически, а не только технически.</w:t>
      </w:r>
    </w:p>
    <w:p>
      <w:pPr>
        <w:pStyle w:val="BodyText"/>
      </w:pPr>
      <w:r>
        <w:rPr>
          <w:i/>
          <w:iCs/>
        </w:rPr>
        <w:t xml:space="preserve">Развернутый культурно-исторический комментарий в форме сноски-bhāṣya.</w:t>
      </w:r>
      <w:r>
        <w:t xml:space="preserve"> </w:t>
      </w:r>
      <w:r>
        <w:t xml:space="preserve">К этой стратегии относятся переводчики следующего поколения — Я. В. Васильков и С. Л. Невелева, В. Г. Эрман, П. А. Гринцер и А. Я. Сыркин. В терминах пяти признаков у всех них доминирует</w:t>
      </w:r>
      <w:r>
        <w:t xml:space="preserve"> </w:t>
      </w:r>
      <w:r>
        <w:rPr>
          <w:i/>
          <w:iCs/>
        </w:rPr>
        <w:t xml:space="preserve">ākṣepasamādhāna</w:t>
      </w:r>
      <w:r>
        <w:t xml:space="preserve">: примечание не глоссирует, а аргументирует. При этом профили внутри группы заметно различаются, что делает ее особенно интересной для наблюдения.</w:t>
      </w:r>
    </w:p>
    <w:p>
      <w:pPr>
        <w:pStyle w:val="BodyText"/>
      </w:pPr>
      <w:r>
        <w:t xml:space="preserve">У Василькова и Невелевой — исследователей, для которых мифологический нарратив и культурная антропология остаются центральными инструментами работы с эпосом — ведущие рубрики это «контекст или нарратив» (26,3 %) и «миф или персонаж» (25,5 %); средняя длина примечания — 260 знаков, доля IAST — 23 %; категория «текстология» достигает 3,4 % — наибольший показатель в корпусе, свидетельствующий о систематическом внимании к слоям и редакциям до М.В. Леонова. В. Г. Эрман, создавший русский перевод Бхишмапарвы вместе с Бхагавадгитой, — единственный из пяти, кто регулярно вводит традиционных индийских комментаторов в аппарат: Девабодха и Нилакантха цитируются системно, хотя и составляют примерно 2 % примечаний. Рубрика «санскритский термин» у него занимает 40,2 %, «текстология» — 4,3 %, а 32,5 % всех примечаний содержат перекрестные отсылки к параллельным местам — наивысший показатель в корпусе. Необходимо, однако, учитывать, что все процентные данные по Эрману основаны на корпусе из всего 758 примечаний — наименьшем в основной выборке; при таком объеме отклонение в несколько примечаний способно заметно сдвинуть долю любой рубрики, и соответствующие цифры следует рассматривать как ориентировочные, требующие проверки на расширенном материале. В совокупности Эрман — академический максимум русской санскритологии в рамках европейской жанровой нормы, до Леонова. П. А. Гринцер, автор фундаментальных работ по типологии индийского эпоса и по категориям классической индийской поэтики, распределяет восемь рубрик равномернее, чем другие переводчики, и регулярно прибегает к сравнению с принстонским изданием Рамаяны Голдменов. Наконец, А. Я. Сыркин, работавший с упанишадами (привлекаемыми здесь исключительно как контрастный фон для сопоставления с эпическим материалом), имеет наибольшую среднюю длину примечания в корпусе — 316 знаков — и наибольшую долю использования санскритской транслитерации (64 %): природа упанишадного текста, требующего развернутого философского объяснения, неизбежно сказывается на характере справочного аппарата.</w:t>
      </w:r>
    </w:p>
    <w:p>
      <w:pPr>
        <w:pStyle w:val="BodyText"/>
      </w:pPr>
      <w:r>
        <w:rPr>
          <w:i/>
          <w:iCs/>
        </w:rPr>
        <w:t xml:space="preserve">Многоисточниковый сопоставительный комментарий.</w:t>
      </w:r>
      <w:r>
        <w:t xml:space="preserve"> </w:t>
      </w:r>
      <w:r>
        <w:t xml:space="preserve">Эта стратегия, наблюдаемая в продолжающемся проекте М. В. Леонова, качественно отличается от предыдущих двух. Ее отличительная черта — одновременный диалог с несколькими индийскими комментаторами (</w:t>
      </w:r>
      <w:r>
        <w:rPr>
          <w:i/>
          <w:iCs/>
        </w:rPr>
        <w:t xml:space="preserve">Tilaka, Bhūṣaṇa, Śiromaṇi, Tattvadīpika, Amṛta</w:t>
      </w:r>
      <w:r>
        <w:t xml:space="preserve">) и с двумя крупными западными изданиями. Примечательно, как при таком подходе меняется сама природа сноски: эпитет</w:t>
      </w:r>
      <w:r>
        <w:t xml:space="preserve"> </w:t>
      </w:r>
      <w:r>
        <w:rPr>
          <w:i/>
          <w:iCs/>
        </w:rPr>
        <w:t xml:space="preserve">kāmarūpa</w:t>
      </w:r>
      <w:r>
        <w:t xml:space="preserve"> </w:t>
      </w:r>
      <w:r>
        <w:t xml:space="preserve">в Сундараканде I.1.5 раскладывается как</w:t>
      </w:r>
      <w:r>
        <w:t xml:space="preserve"> </w:t>
      </w:r>
      <w:r>
        <w:rPr>
          <w:i/>
          <w:iCs/>
        </w:rPr>
        <w:t xml:space="preserve">kāma-rūpa</w:t>
      </w:r>
      <w:r>
        <w:t xml:space="preserve"> </w:t>
      </w:r>
      <w:r>
        <w:t xml:space="preserve">«облик согласно желанию» по</w:t>
      </w:r>
      <w:r>
        <w:t xml:space="preserve"> </w:t>
      </w:r>
      <w:r>
        <w:rPr>
          <w:i/>
          <w:iCs/>
        </w:rPr>
        <w:t xml:space="preserve">Śiromaṇi</w:t>
      </w:r>
      <w:r>
        <w:t xml:space="preserve"> </w:t>
      </w:r>
      <w:r>
        <w:t xml:space="preserve">с параллельным переводом «able to change his form at will» из издания Голдманов, оставленным в английском оригинале. Традиционный и западный академический голоса присутствуют рядом, не сводясь к единственно «правильному» толкованию.</w:t>
      </w:r>
    </w:p>
    <w:p>
      <w:pPr>
        <w:pStyle w:val="BodyText"/>
      </w:pPr>
      <w:r>
        <w:rPr>
          <w:i/>
          <w:iCs/>
        </w:rPr>
        <w:t xml:space="preserve">Технический инструментарий как самостоятельная стратегия.</w:t>
      </w:r>
      <w:r>
        <w:t xml:space="preserve"> </w:t>
      </w:r>
      <w:r>
        <w:t xml:space="preserve">Особняком стоит перевод «Бхагавадгиты» Д. Бурбы (Burba 2009), не входящий в основную выборку 17 863 примечаний. Его пословный грамматический разбор каждой шлоки — единственный в русской традиции случай, где первые четыре</w:t>
      </w:r>
      <w:r>
        <w:t xml:space="preserve"> </w:t>
      </w:r>
      <w:r>
        <w:rPr>
          <w:i/>
          <w:iCs/>
        </w:rPr>
        <w:t xml:space="preserve">lakṣaṇa</w:t>
      </w:r>
      <w:r>
        <w:t xml:space="preserve"> </w:t>
      </w:r>
      <w:r>
        <w:t xml:space="preserve">развернуты эксплицитно как самостоятельный слой издания:</w:t>
      </w:r>
      <w:r>
        <w:t xml:space="preserve"> </w:t>
      </w:r>
      <w:r>
        <w:rPr>
          <w:i/>
          <w:iCs/>
        </w:rPr>
        <w:t xml:space="preserve">padaccheda</w:t>
      </w:r>
      <w:r>
        <w:t xml:space="preserve"> </w:t>
      </w:r>
      <w:r>
        <w:t xml:space="preserve">(выделение словоформы и разрешение</w:t>
      </w:r>
      <w:r>
        <w:t xml:space="preserve"> </w:t>
      </w:r>
      <w:r>
        <w:rPr>
          <w:i/>
          <w:iCs/>
        </w:rPr>
        <w:t xml:space="preserve">sandhi</w:t>
      </w:r>
      <w:r>
        <w:t xml:space="preserve">),</w:t>
      </w:r>
      <w:r>
        <w:t xml:space="preserve"> </w:t>
      </w:r>
      <w:r>
        <w:rPr>
          <w:i/>
          <w:iCs/>
        </w:rPr>
        <w:t xml:space="preserve">padārthokti</w:t>
      </w:r>
      <w:r>
        <w:t xml:space="preserve"> </w:t>
      </w:r>
      <w:r>
        <w:t xml:space="preserve">(глосса),</w:t>
      </w:r>
      <w:r>
        <w:t xml:space="preserve"> </w:t>
      </w:r>
      <w:r>
        <w:rPr>
          <w:i/>
          <w:iCs/>
        </w:rPr>
        <w:t xml:space="preserve">vigraha</w:t>
      </w:r>
      <w:r>
        <w:t xml:space="preserve"> </w:t>
      </w:r>
      <w:r>
        <w:t xml:space="preserve">(разбор сложного слова),</w:t>
      </w:r>
      <w:r>
        <w:t xml:space="preserve"> </w:t>
      </w:r>
      <w:r>
        <w:rPr>
          <w:i/>
          <w:iCs/>
        </w:rPr>
        <w:t xml:space="preserve">vākyayojanā</w:t>
      </w:r>
      <w:r>
        <w:t xml:space="preserve"> </w:t>
      </w:r>
      <w:r>
        <w:t xml:space="preserve">(синтаксическая связь слов в предложении). Пятый</w:t>
      </w:r>
      <w:r>
        <w:t xml:space="preserve"> </w:t>
      </w:r>
      <w:r>
        <w:rPr>
          <w:i/>
          <w:iCs/>
        </w:rPr>
        <w:t xml:space="preserve">lakṣaṇa</w:t>
      </w:r>
      <w:r>
        <w:t xml:space="preserve"> </w:t>
      </w:r>
      <w:r>
        <w:t xml:space="preserve">—</w:t>
      </w:r>
      <w:r>
        <w:t xml:space="preserve"> </w:t>
      </w:r>
      <w:r>
        <w:rPr>
          <w:i/>
          <w:iCs/>
        </w:rPr>
        <w:t xml:space="preserve">ākṣepasamādhāna</w:t>
      </w:r>
      <w:r>
        <w:t xml:space="preserve"> </w:t>
      </w:r>
      <w:r>
        <w:t xml:space="preserve">— практически отсутствует: читатель получает грамматический аппарат для самостоятельного выбора, а не дискуссию. Это тип, для которого в остальном академическом корпусе нет аналога; он ближе всего к жанру</w:t>
      </w:r>
      <w:r>
        <w:t xml:space="preserve"> </w:t>
      </w:r>
      <w:r>
        <w:rPr>
          <w:i/>
          <w:iCs/>
        </w:rPr>
        <w:t xml:space="preserve">ṭīkā</w:t>
      </w:r>
      <w:r>
        <w:t xml:space="preserve"> </w:t>
      </w:r>
      <w:r>
        <w:t xml:space="preserve">в его школьном измерении, где именно технические четыре</w:t>
      </w:r>
      <w:r>
        <w:t xml:space="preserve"> </w:t>
      </w:r>
      <w:r>
        <w:rPr>
          <w:i/>
          <w:iCs/>
        </w:rPr>
        <w:t xml:space="preserve">lakṣaṇa</w:t>
      </w:r>
      <w:r>
        <w:t xml:space="preserve"> </w:t>
      </w:r>
      <w:r>
        <w:t xml:space="preserve">и составляют основную функцию.</w:t>
      </w:r>
    </w:p>
    <w:p>
      <w:pPr>
        <w:pStyle w:val="BodyText"/>
      </w:pPr>
      <w:r>
        <w:t xml:space="preserve">Прежде чем свести эти наблюдения в таблицу, необходимо оговорить два обстоятельства. Первое касается сравнительного веса параметров: первые два — тематическая рубрика и тип по Казанскому — в значительной мере являются коррелятами третьего, и схема содержит не четыре по-настоящему независимые оси, а три с дополнительными уточнениями. Это не обесценивает первые два параметра: они обеспечивают сопоставимость с</w:t>
      </w:r>
      <w:r>
        <w:t xml:space="preserve"> </w:t>
      </w:r>
      <w:r>
        <w:rPr>
          <w:i/>
          <w:iCs/>
        </w:rPr>
        <w:t xml:space="preserve">Corpus Latino-Rossicum</w:t>
      </w:r>
      <w:r>
        <w:t xml:space="preserve"> </w:t>
      </w:r>
      <w:r>
        <w:t xml:space="preserve">и позволяют фиксировать внутрикорпусные различия, недоступные третьему параметру в отдельности. Тем не менее называть схему строго четырехпараметрической было бы не вполне точно. Второе обстоятельство касается уровня данных: различия в надежности корпусов оговорены в §1 и воспроизводятся в таблице отдельным столбцом. Следует также оговорить, что приводимые значения отражают доминирующие, а не единственные характеристики каждого корпуса.</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tcW w:type="dxa" w:w="1039"/>
          </w:tcPr>
          <w:p>
            <w:pPr>
              <w:pStyle w:val="Compact"/>
            </w:pPr>
            <w:r>
              <w:t xml:space="preserve">Переводчик</w:t>
            </w:r>
          </w:p>
        </w:tc>
        <w:tc>
          <w:tcPr>
            <w:tcW w:type="dxa" w:w="1039"/>
          </w:tcPr>
          <w:p>
            <w:pPr>
              <w:pStyle w:val="Compact"/>
            </w:pPr>
            <w:r>
              <w:t xml:space="preserve">Доминирующая рубрика</w:t>
            </w:r>
          </w:p>
        </w:tc>
        <w:tc>
          <w:tcPr>
            <w:tcW w:type="dxa" w:w="1039"/>
          </w:tcPr>
          <w:p>
            <w:pPr>
              <w:pStyle w:val="Compact"/>
            </w:pPr>
            <w:r>
              <w:t xml:space="preserve">Тип (по Казанскому)</w:t>
            </w:r>
          </w:p>
        </w:tc>
        <w:tc>
          <w:tcPr>
            <w:tcW w:type="dxa" w:w="1039"/>
          </w:tcPr>
          <w:p>
            <w:pPr>
              <w:pStyle w:val="Compact"/>
            </w:pPr>
            <w:r>
              <w:t xml:space="preserve">Функция</w:t>
            </w:r>
            <w:r>
              <w:t xml:space="preserve"> </w:t>
            </w:r>
            <w:r>
              <w:rPr>
                <w:i/>
                <w:iCs/>
              </w:rPr>
              <w:t xml:space="preserve">vyākhyāna</w:t>
            </w:r>
          </w:p>
        </w:tc>
        <w:tc>
          <w:tcPr>
            <w:tcW w:type="dxa" w:w="1039"/>
          </w:tcPr>
          <w:p>
            <w:pPr>
              <w:pStyle w:val="Compact"/>
            </w:pPr>
            <w:r>
              <w:t xml:space="preserve">Категориальный статус (по Парибку)</w:t>
            </w:r>
          </w:p>
        </w:tc>
        <w:tc>
          <w:tcPr>
            <w:tcW w:type="dxa" w:w="1039"/>
          </w:tcPr>
          <w:p>
            <w:pPr>
              <w:pStyle w:val="Compact"/>
            </w:pPr>
            <w:r>
              <w:t xml:space="preserve">Надежность данных</w:t>
            </w:r>
          </w:p>
        </w:tc>
      </w:tr>
      <w:tr>
        <w:tc>
          <w:tcPr>
            <w:tcW w:type="dxa" w:w="1039"/>
          </w:tcPr>
          <w:p>
            <w:pPr>
              <w:pStyle w:val="Compact"/>
            </w:pPr>
            <w:r>
              <w:t xml:space="preserve">Кальянов</w:t>
            </w:r>
          </w:p>
        </w:tc>
        <w:tc>
          <w:tcPr>
            <w:tcW w:type="dxa" w:w="1039"/>
          </w:tcPr>
          <w:p>
            <w:pPr>
              <w:pStyle w:val="Compact"/>
            </w:pPr>
            <w:r>
              <w:t xml:space="preserve">термин/перевод (51,5 %), реалии, топонимы</w:t>
            </w:r>
          </w:p>
        </w:tc>
        <w:tc>
          <w:tcPr>
            <w:tcW w:type="dxa" w:w="1039"/>
          </w:tcPr>
          <w:p>
            <w:pPr>
              <w:pStyle w:val="Compact"/>
            </w:pPr>
            <w:r>
              <w:t xml:space="preserve">реальный</w:t>
            </w:r>
          </w:p>
        </w:tc>
        <w:tc>
          <w:tcPr>
            <w:tcW w:type="dxa" w:w="1039"/>
          </w:tcPr>
          <w:p>
            <w:pPr>
              <w:pStyle w:val="Compact"/>
            </w:pPr>
            <w:r>
              <w:rPr>
                <w:i/>
                <w:iCs/>
              </w:rPr>
              <w:t xml:space="preserve">padārthokti</w:t>
            </w:r>
          </w:p>
        </w:tc>
        <w:tc>
          <w:tcPr>
            <w:tcW w:type="dxa" w:w="1039"/>
          </w:tcPr>
          <w:p>
            <w:pPr>
              <w:pStyle w:val="Compact"/>
            </w:pPr>
            <w:r>
              <w:t xml:space="preserve">обычная номинация</w:t>
            </w:r>
          </w:p>
        </w:tc>
        <w:tc>
          <w:tcPr>
            <w:tcW w:type="dxa" w:w="1039"/>
          </w:tcPr>
          <w:p>
            <w:pPr>
              <w:pStyle w:val="Compact"/>
            </w:pPr>
            <w:r>
              <w:t xml:space="preserve">надежно</w:t>
            </w:r>
          </w:p>
        </w:tc>
      </w:tr>
      <w:tr>
        <w:tc>
          <w:tcPr>
            <w:tcW w:type="dxa" w:w="1039"/>
          </w:tcPr>
          <w:p>
            <w:pPr>
              <w:pStyle w:val="Compact"/>
            </w:pPr>
            <w:r>
              <w:t xml:space="preserve">Васильков — Невелева</w:t>
            </w:r>
          </w:p>
        </w:tc>
        <w:tc>
          <w:tcPr>
            <w:tcW w:type="dxa" w:w="1039"/>
          </w:tcPr>
          <w:p>
            <w:pPr>
              <w:pStyle w:val="Compact"/>
            </w:pPr>
            <w:r>
              <w:t xml:space="preserve">контекст/нарратив (26,3 %), миф/персонаж (25,5 %)</w:t>
            </w:r>
          </w:p>
        </w:tc>
        <w:tc>
          <w:tcPr>
            <w:tcW w:type="dxa" w:w="1039"/>
          </w:tcPr>
          <w:p>
            <w:pPr>
              <w:pStyle w:val="Compact"/>
            </w:pPr>
            <w:r>
              <w:t xml:space="preserve">культурологический</w:t>
            </w:r>
          </w:p>
        </w:tc>
        <w:tc>
          <w:tcPr>
            <w:tcW w:type="dxa" w:w="1039"/>
          </w:tcPr>
          <w:p>
            <w:pPr>
              <w:pStyle w:val="Compact"/>
            </w:pPr>
            <w:r>
              <w:rPr>
                <w:i/>
                <w:iCs/>
              </w:rPr>
              <w:t xml:space="preserve">ākṣepasamādhāna</w:t>
            </w:r>
          </w:p>
        </w:tc>
        <w:tc>
          <w:tcPr>
            <w:tcW w:type="dxa" w:w="1039"/>
          </w:tcPr>
          <w:p>
            <w:pPr>
              <w:pStyle w:val="Compact"/>
            </w:pPr>
            <w:r>
              <w:t xml:space="preserve">понятие (без эксплицитной разметки)</w:t>
            </w:r>
          </w:p>
        </w:tc>
        <w:tc>
          <w:tcPr>
            <w:tcW w:type="dxa" w:w="1039"/>
          </w:tcPr>
          <w:p>
            <w:pPr>
              <w:pStyle w:val="Compact"/>
            </w:pPr>
            <w:r>
              <w:t xml:space="preserve">надежно</w:t>
            </w:r>
          </w:p>
        </w:tc>
      </w:tr>
      <w:tr>
        <w:tc>
          <w:tcPr>
            <w:tcW w:type="dxa" w:w="1039"/>
          </w:tcPr>
          <w:p>
            <w:pPr>
              <w:pStyle w:val="Compact"/>
            </w:pPr>
            <w:r>
              <w:t xml:space="preserve">Эрман</w:t>
            </w:r>
          </w:p>
        </w:tc>
        <w:tc>
          <w:tcPr>
            <w:tcW w:type="dxa" w:w="1039"/>
          </w:tcPr>
          <w:p>
            <w:pPr>
              <w:pStyle w:val="Compact"/>
            </w:pPr>
            <w:r>
              <w:t xml:space="preserve">термин (40,2 %), текстология (4,3 %)</w:t>
            </w:r>
          </w:p>
        </w:tc>
        <w:tc>
          <w:tcPr>
            <w:tcW w:type="dxa" w:w="1039"/>
          </w:tcPr>
          <w:p>
            <w:pPr>
              <w:pStyle w:val="Compact"/>
            </w:pPr>
            <w:r>
              <w:t xml:space="preserve">культурологический + филологический</w:t>
            </w:r>
          </w:p>
        </w:tc>
        <w:tc>
          <w:tcPr>
            <w:tcW w:type="dxa" w:w="1039"/>
          </w:tcPr>
          <w:p>
            <w:pPr>
              <w:pStyle w:val="Compact"/>
            </w:pPr>
            <w:r>
              <w:rPr>
                <w:i/>
                <w:iCs/>
              </w:rPr>
              <w:t xml:space="preserve">ākṣepasamādhāna</w:t>
            </w:r>
          </w:p>
        </w:tc>
        <w:tc>
          <w:tcPr>
            <w:tcW w:type="dxa" w:w="1039"/>
          </w:tcPr>
          <w:p>
            <w:pPr>
              <w:pStyle w:val="Compact"/>
            </w:pPr>
            <w:r>
              <w:t xml:space="preserve">понятие</w:t>
            </w:r>
          </w:p>
        </w:tc>
        <w:tc>
          <w:tcPr>
            <w:tcW w:type="dxa" w:w="1039"/>
          </w:tcPr>
          <w:p>
            <w:pPr>
              <w:pStyle w:val="Compact"/>
            </w:pPr>
            <w:r>
              <w:t xml:space="preserve">ориентировочно</w:t>
            </w:r>
          </w:p>
        </w:tc>
      </w:tr>
      <w:tr>
        <w:tc>
          <w:tcPr>
            <w:tcW w:type="dxa" w:w="1039"/>
          </w:tcPr>
          <w:p>
            <w:pPr>
              <w:pStyle w:val="Compact"/>
            </w:pPr>
            <w:r>
              <w:t xml:space="preserve">Гринцер</w:t>
            </w:r>
          </w:p>
        </w:tc>
        <w:tc>
          <w:tcPr>
            <w:tcW w:type="dxa" w:w="1039"/>
          </w:tcPr>
          <w:p>
            <w:pPr>
              <w:pStyle w:val="Compact"/>
            </w:pPr>
            <w:r>
              <w:t xml:space="preserve">текстология, нарратив, филология</w:t>
            </w:r>
          </w:p>
        </w:tc>
        <w:tc>
          <w:tcPr>
            <w:tcW w:type="dxa" w:w="1039"/>
          </w:tcPr>
          <w:p>
            <w:pPr>
              <w:pStyle w:val="Compact"/>
            </w:pPr>
            <w:r>
              <w:t xml:space="preserve">филологический</w:t>
            </w:r>
          </w:p>
        </w:tc>
        <w:tc>
          <w:tcPr>
            <w:tcW w:type="dxa" w:w="1039"/>
          </w:tcPr>
          <w:p>
            <w:pPr>
              <w:pStyle w:val="Compact"/>
            </w:pPr>
            <w:r>
              <w:rPr>
                <w:i/>
                <w:iCs/>
              </w:rPr>
              <w:t xml:space="preserve">ākṣepasamādhāna</w:t>
            </w:r>
            <w:r>
              <w:t xml:space="preserve"> </w:t>
            </w:r>
            <w:r>
              <w:t xml:space="preserve">+</w:t>
            </w:r>
            <w:r>
              <w:t xml:space="preserve"> </w:t>
            </w:r>
            <w:r>
              <w:rPr>
                <w:i/>
                <w:iCs/>
              </w:rPr>
              <w:t xml:space="preserve">vigraha</w:t>
            </w:r>
          </w:p>
        </w:tc>
        <w:tc>
          <w:tcPr>
            <w:tcW w:type="dxa" w:w="1039"/>
          </w:tcPr>
          <w:p>
            <w:pPr>
              <w:pStyle w:val="Compact"/>
            </w:pPr>
            <w:r>
              <w:t xml:space="preserve">понятие</w:t>
            </w:r>
          </w:p>
        </w:tc>
        <w:tc>
          <w:tcPr>
            <w:tcW w:type="dxa" w:w="1039"/>
          </w:tcPr>
          <w:p>
            <w:pPr>
              <w:pStyle w:val="Compact"/>
            </w:pPr>
            <w:r>
              <w:t xml:space="preserve">надежно</w:t>
            </w:r>
          </w:p>
        </w:tc>
      </w:tr>
      <w:tr>
        <w:tc>
          <w:tcPr>
            <w:tcW w:type="dxa" w:w="1039"/>
          </w:tcPr>
          <w:p>
            <w:pPr>
              <w:pStyle w:val="Compact"/>
            </w:pPr>
            <w:r>
              <w:t xml:space="preserve">Сыркин</w:t>
            </w:r>
          </w:p>
        </w:tc>
        <w:tc>
          <w:tcPr>
            <w:tcW w:type="dxa" w:w="1039"/>
          </w:tcPr>
          <w:p>
            <w:pPr>
              <w:pStyle w:val="Compact"/>
            </w:pPr>
            <w:r>
              <w:t xml:space="preserve">философия, термин (64 % IAST; ср. длина 316 зн.)</w:t>
            </w:r>
          </w:p>
        </w:tc>
        <w:tc>
          <w:tcPr>
            <w:tcW w:type="dxa" w:w="1039"/>
          </w:tcPr>
          <w:p>
            <w:pPr>
              <w:pStyle w:val="Compact"/>
            </w:pPr>
            <w:r>
              <w:t xml:space="preserve">культурологический</w:t>
            </w:r>
          </w:p>
        </w:tc>
        <w:tc>
          <w:tcPr>
            <w:tcW w:type="dxa" w:w="1039"/>
          </w:tcPr>
          <w:p>
            <w:pPr>
              <w:pStyle w:val="Compact"/>
            </w:pPr>
            <w:r>
              <w:rPr>
                <w:i/>
                <w:iCs/>
              </w:rPr>
              <w:t xml:space="preserve">ākṣepasamādhāna</w:t>
            </w:r>
          </w:p>
        </w:tc>
        <w:tc>
          <w:tcPr>
            <w:tcW w:type="dxa" w:w="1039"/>
          </w:tcPr>
          <w:p>
            <w:pPr>
              <w:pStyle w:val="Compact"/>
            </w:pPr>
            <w:r>
              <w:t xml:space="preserve">понятие (наиболее высокий % IAST)</w:t>
            </w:r>
          </w:p>
        </w:tc>
        <w:tc>
          <w:tcPr>
            <w:tcW w:type="dxa" w:w="1039"/>
          </w:tcPr>
          <w:p>
            <w:pPr>
              <w:pStyle w:val="Compact"/>
            </w:pPr>
            <w:r>
              <w:t xml:space="preserve">ориентировочно</w:t>
            </w:r>
          </w:p>
        </w:tc>
      </w:tr>
      <w:tr>
        <w:tc>
          <w:tcPr>
            <w:tcW w:type="dxa" w:w="1039"/>
          </w:tcPr>
          <w:p>
            <w:pPr>
              <w:pStyle w:val="Compact"/>
            </w:pPr>
            <w:r>
              <w:t xml:space="preserve">Леонов</w:t>
            </w:r>
          </w:p>
        </w:tc>
        <w:tc>
          <w:tcPr>
            <w:tcW w:type="dxa" w:w="1039"/>
          </w:tcPr>
          <w:p>
            <w:pPr>
              <w:pStyle w:val="Compact"/>
            </w:pPr>
            <w:r>
              <w:t xml:space="preserve">термин, традиция, сопоставление</w:t>
            </w:r>
          </w:p>
        </w:tc>
        <w:tc>
          <w:tcPr>
            <w:tcW w:type="dxa" w:w="1039"/>
          </w:tcPr>
          <w:p>
            <w:pPr>
              <w:pStyle w:val="Compact"/>
            </w:pPr>
            <w:r>
              <w:t xml:space="preserve">многоисточниковый</w:t>
            </w:r>
          </w:p>
        </w:tc>
        <w:tc>
          <w:tcPr>
            <w:tcW w:type="dxa" w:w="1039"/>
          </w:tcPr>
          <w:p>
            <w:pPr>
              <w:pStyle w:val="Compact"/>
            </w:pPr>
            <w:r>
              <w:rPr>
                <w:i/>
                <w:iCs/>
              </w:rPr>
              <w:t xml:space="preserve">padārthokti</w:t>
            </w:r>
            <w:r>
              <w:t xml:space="preserve"> </w:t>
            </w:r>
            <w:r>
              <w:t xml:space="preserve">+</w:t>
            </w:r>
            <w:r>
              <w:t xml:space="preserve"> </w:t>
            </w:r>
            <w:r>
              <w:rPr>
                <w:i/>
                <w:iCs/>
              </w:rPr>
              <w:t xml:space="preserve">ākṣepasamādhāna</w:t>
            </w:r>
          </w:p>
        </w:tc>
        <w:tc>
          <w:tcPr>
            <w:tcW w:type="dxa" w:w="1039"/>
          </w:tcPr>
          <w:p>
            <w:pPr>
              <w:pStyle w:val="Compact"/>
            </w:pPr>
            <w:r>
              <w:t xml:space="preserve">не эксплицировано</w:t>
            </w:r>
          </w:p>
        </w:tc>
        <w:tc>
          <w:tcPr>
            <w:tcW w:type="dxa" w:w="1039"/>
          </w:tcPr>
          <w:p>
            <w:pPr>
              <w:pStyle w:val="Compact"/>
            </w:pPr>
            <w:r>
              <w:t xml:space="preserve">предварительно</w:t>
            </w:r>
          </w:p>
        </w:tc>
      </w:tr>
      <w:tr>
        <w:tc>
          <w:tcPr>
            <w:tcW w:type="dxa" w:w="1039"/>
          </w:tcPr>
          <w:p>
            <w:pPr>
              <w:pStyle w:val="Compact"/>
            </w:pPr>
            <w:r>
              <w:t xml:space="preserve">Бурба</w:t>
            </w:r>
          </w:p>
        </w:tc>
        <w:tc>
          <w:tcPr>
            <w:tcW w:type="dxa" w:w="1039"/>
          </w:tcPr>
          <w:p>
            <w:pPr>
              <w:pStyle w:val="Compact"/>
            </w:pPr>
            <w:r>
              <w:t xml:space="preserve">Бхагавадгита (все шлоки)</w:t>
            </w:r>
          </w:p>
        </w:tc>
        <w:tc>
          <w:tcPr>
            <w:tcW w:type="dxa" w:w="1039"/>
          </w:tcPr>
          <w:p>
            <w:pPr>
              <w:pStyle w:val="Compact"/>
            </w:pPr>
            <w:r>
              <w:t xml:space="preserve">филологический</w:t>
            </w:r>
          </w:p>
        </w:tc>
        <w:tc>
          <w:tcPr>
            <w:tcW w:type="dxa" w:w="1039"/>
          </w:tcPr>
          <w:p>
            <w:pPr>
              <w:pStyle w:val="Compact"/>
            </w:pPr>
            <w:r>
              <w:rPr>
                <w:i/>
                <w:iCs/>
              </w:rPr>
              <w:t xml:space="preserve">padaccheda</w:t>
            </w:r>
            <w:r>
              <w:t xml:space="preserve"> </w:t>
            </w:r>
            <w:r>
              <w:t xml:space="preserve">+</w:t>
            </w:r>
            <w:r>
              <w:t xml:space="preserve"> </w:t>
            </w:r>
            <w:r>
              <w:rPr>
                <w:i/>
                <w:iCs/>
              </w:rPr>
              <w:t xml:space="preserve">padārthokti</w:t>
            </w:r>
            <w:r>
              <w:t xml:space="preserve"> </w:t>
            </w:r>
            <w:r>
              <w:t xml:space="preserve">+</w:t>
            </w:r>
            <w:r>
              <w:t xml:space="preserve"> </w:t>
            </w:r>
            <w:r>
              <w:rPr>
                <w:i/>
                <w:iCs/>
              </w:rPr>
              <w:t xml:space="preserve">vigraha</w:t>
            </w:r>
            <w:r>
              <w:t xml:space="preserve"> </w:t>
            </w:r>
            <w:r>
              <w:t xml:space="preserve">+</w:t>
            </w:r>
            <w:r>
              <w:t xml:space="preserve"> </w:t>
            </w:r>
            <w:r>
              <w:rPr>
                <w:i/>
                <w:iCs/>
              </w:rPr>
              <w:t xml:space="preserve">vākyayojanā</w:t>
            </w:r>
          </w:p>
        </w:tc>
        <w:tc>
          <w:tcPr>
            <w:tcW w:type="dxa" w:w="1039"/>
          </w:tcPr>
          <w:p>
            <w:pPr>
              <w:pStyle w:val="Compact"/>
            </w:pPr>
            <w:r>
              <w:t xml:space="preserve">обычная номинация</w:t>
            </w:r>
          </w:p>
        </w:tc>
        <w:tc>
          <w:tcPr>
            <w:tcW w:type="dxa" w:w="1039"/>
          </w:tcPr>
          <w:p>
            <w:pPr>
              <w:pStyle w:val="Compact"/>
            </w:pPr>
            <w:r>
              <w:t xml:space="preserve">надежно</w:t>
            </w:r>
          </w:p>
        </w:tc>
      </w:tr>
    </w:tbl>
    <w:p>
      <w:pPr>
        <w:pStyle w:val="BodyText"/>
      </w:pPr>
      <w:r>
        <w:t xml:space="preserve">Из доминирования</w:t>
      </w:r>
      <w:r>
        <w:t xml:space="preserve"> </w:t>
      </w:r>
      <w:r>
        <w:rPr>
          <w:i/>
          <w:iCs/>
        </w:rPr>
        <w:t xml:space="preserve">padārthokti</w:t>
      </w:r>
      <w:r>
        <w:t xml:space="preserve"> </w:t>
      </w:r>
      <w:r>
        <w:t xml:space="preserve">как ведущей функции первой стратегии немедленно следует предсказание: рубрика «контекст или нарратив» должна быть в этом корпусе представлена минимально — поскольку нарративный комментарий по определению предполагает аргументацию, а не глоссирование. Это предсказание квантитивно проверяемо по репозиторию и составляет один из способов верификации предложенной схемы. Аналогично: из доминирования</w:t>
      </w:r>
      <w:r>
        <w:t xml:space="preserve"> </w:t>
      </w:r>
      <w:r>
        <w:rPr>
          <w:i/>
          <w:iCs/>
        </w:rPr>
        <w:t xml:space="preserve">ākṣepasamādhāna</w:t>
      </w:r>
      <w:r>
        <w:t xml:space="preserve"> </w:t>
      </w:r>
      <w:r>
        <w:t xml:space="preserve">у переводчиков второй стратегии следует, что доля текстологических примечаний у них должна быть выше, чем у Кальянова, — поскольку дискуссионная функция предполагает обращение к альтернативным чтениям. Данные Эрмана (4,3 % текстологии против почти нулевого показателя у Кальянова) это предсказание подтверждают, хотя объем корпуса Эрмана не позволяет считать свидетельство окончательным.</w:t>
      </w:r>
    </w:p>
    <w:p>
      <w:pPr>
        <w:pStyle w:val="BodyText"/>
      </w:pPr>
      <w:r>
        <w:t xml:space="preserve">Граница между первой и второй стратегиями проходит прежде всего по функции</w:t>
      </w:r>
      <w:r>
        <w:t xml:space="preserve"> </w:t>
      </w:r>
      <w:r>
        <w:rPr>
          <w:i/>
          <w:iCs/>
        </w:rPr>
        <w:t xml:space="preserve">vyākhyāna</w:t>
      </w:r>
      <w:r>
        <w:t xml:space="preserve">: преобладание</w:t>
      </w:r>
      <w:r>
        <w:t xml:space="preserve"> </w:t>
      </w:r>
      <w:r>
        <w:rPr>
          <w:i/>
          <w:iCs/>
        </w:rPr>
        <w:t xml:space="preserve">padārthokti</w:t>
      </w:r>
      <w:r>
        <w:t xml:space="preserve"> </w:t>
      </w:r>
      <w:r>
        <w:t xml:space="preserve">указывает на ориентацию на широкого читателя, которому требуется опознать реалию; переход к</w:t>
      </w:r>
      <w:r>
        <w:t xml:space="preserve"> </w:t>
      </w:r>
      <w:r>
        <w:rPr>
          <w:i/>
          <w:iCs/>
        </w:rPr>
        <w:t xml:space="preserve">ākṣepasamādhāna</w:t>
      </w:r>
      <w:r>
        <w:t xml:space="preserve"> </w:t>
      </w:r>
      <w:r>
        <w:t xml:space="preserve">— на аудиторию, готовую воспринять дискуссию. Третья стратегия, представленная Леоновым, в этом отношении неоднородна: разные уровни привлекаемых источников предполагают разные читательские компетенции одновременно, что само по себе составляет особый вопрос.</w:t>
      </w:r>
    </w:p>
    <w:p>
      <w:pPr>
        <w:pStyle w:val="BodyText"/>
      </w:pPr>
      <w:r>
        <w:t xml:space="preserve">Эта картина не означает, что более поздние практики безусловно предпочтительнее ранних. Различие стратегий отражает прежде всего различие целевой аудитории и культурно-исторического контекста. Рассматривая их в хронологической развертке, можно выделить три этапа: ориентация на глоссирование реалии в 1950–1960-е гг. (Кальянов); развернутый энциклопедизм 1980–1990-х гг. (Васильков, Невелева, Сыркин, Эрман, Гринцер); многоисточниковое сопоставление эпохи цифровых корпусов 2010–2020-х гг. (Леонов).</w:t>
      </w:r>
    </w:p>
    <w:p>
      <w:pPr>
        <w:pStyle w:val="BodyText"/>
      </w:pPr>
      <w:r>
        <w:t xml:space="preserve">Вернемся теперь к примечанию Эрмана о «Ведах» и</w:t>
      </w:r>
      <w:r>
        <w:t xml:space="preserve"> </w:t>
      </w:r>
      <w:r>
        <w:rPr>
          <w:i/>
          <w:iCs/>
        </w:rPr>
        <w:t xml:space="preserve">adhyāyana</w:t>
      </w:r>
      <w:r>
        <w:t xml:space="preserve"> </w:t>
      </w:r>
      <w:r>
        <w:t xml:space="preserve">— чтобы показать, как четыре параметра работают в полном объеме на конкретном тексте. Само примечание гласит: «Искушенные в чтении Вед — подразумевается ритуальное чтение священных текстов (</w:t>
      </w:r>
      <w:r>
        <w:rPr>
          <w:i/>
          <w:iCs/>
        </w:rPr>
        <w:t xml:space="preserve">adhyāyana</w:t>
      </w:r>
      <w:r>
        <w:t xml:space="preserve">), которому приписывается магическое действие. Согласно комментарию Девабодхи, здесь, кроме канонических четырех Вед, имеется в виду также</w:t>
      </w:r>
      <w:r>
        <w:t xml:space="preserve"> </w:t>
      </w:r>
      <w:r>
        <w:t xml:space="preserve">“Дханурведа”</w:t>
      </w:r>
      <w:r>
        <w:t xml:space="preserve">, трактующая воинское искусство» (Erman 2009: 338). По</w:t>
      </w:r>
      <w:r>
        <w:t xml:space="preserve"> </w:t>
      </w:r>
      <w:r>
        <w:rPr>
          <w:i/>
          <w:iCs/>
        </w:rPr>
        <w:t xml:space="preserve">первому параметру</w:t>
      </w:r>
      <w:r>
        <w:t xml:space="preserve"> </w:t>
      </w:r>
      <w:r>
        <w:t xml:space="preserve">это рубрика «культурная реалия»: комментарий объясняет ритуальную практику, а не топоним и не мифологическое событие. По</w:t>
      </w:r>
      <w:r>
        <w:t xml:space="preserve"> </w:t>
      </w:r>
      <w:r>
        <w:rPr>
          <w:i/>
          <w:iCs/>
        </w:rPr>
        <w:t xml:space="preserve">второму параметру</w:t>
      </w:r>
      <w:r>
        <w:t xml:space="preserve"> </w:t>
      </w:r>
      <w:r>
        <w:t xml:space="preserve">— тип культурологический: речь о религиозном институте в его функциональном смысле. По</w:t>
      </w:r>
      <w:r>
        <w:t xml:space="preserve"> </w:t>
      </w:r>
      <w:r>
        <w:rPr>
          <w:i/>
          <w:iCs/>
        </w:rPr>
        <w:t xml:space="preserve">третьему параметру</w:t>
      </w:r>
      <w:r>
        <w:t xml:space="preserve"> </w:t>
      </w:r>
      <w:r>
        <w:t xml:space="preserve">— функция</w:t>
      </w:r>
      <w:r>
        <w:t xml:space="preserve"> </w:t>
      </w:r>
      <w:r>
        <w:rPr>
          <w:i/>
          <w:iCs/>
        </w:rPr>
        <w:t xml:space="preserve">ākṣepasamādhāna</w:t>
      </w:r>
      <w:r>
        <w:t xml:space="preserve">: Эрман не просто глоссирует слово, а вводит необходимое уточнение («магическое действие») и отвечает на него через отсылку к традиционному авторитету; по ходу объем слова</w:t>
      </w:r>
      <w:r>
        <w:t xml:space="preserve"> </w:t>
      </w:r>
      <w:r>
        <w:rPr>
          <w:i/>
          <w:iCs/>
        </w:rPr>
        <w:t xml:space="preserve">adhyāyana</w:t>
      </w:r>
      <w:r>
        <w:t xml:space="preserve"> </w:t>
      </w:r>
      <w:r>
        <w:t xml:space="preserve">расширяется за счет «Дханурведы» — это принципиально иной ход, нежели однострочная глосса. По</w:t>
      </w:r>
      <w:r>
        <w:t xml:space="preserve"> </w:t>
      </w:r>
      <w:r>
        <w:rPr>
          <w:i/>
          <w:iCs/>
        </w:rPr>
        <w:t xml:space="preserve">четвертому параметру</w:t>
      </w:r>
      <w:r>
        <w:t xml:space="preserve"> </w:t>
      </w:r>
      <w:r>
        <w:t xml:space="preserve">—</w:t>
      </w:r>
      <w:r>
        <w:t xml:space="preserve"> </w:t>
      </w:r>
      <w:r>
        <w:rPr>
          <w:i/>
          <w:iCs/>
        </w:rPr>
        <w:t xml:space="preserve">adhyāyana</w:t>
      </w:r>
      <w:r>
        <w:t xml:space="preserve"> </w:t>
      </w:r>
      <w:r>
        <w:t xml:space="preserve">у Эрмана трактуется как «понятие» в смысле Парибка: ритуальное чтение описывается через историко-религиозный контекст, но не как кодификатор направления деятельности, программирующий изменение субъекта. Именно здесь пролегает граница, которую формула четвертого параметра фиксирует как системную черту всего академического корпуса. Эрман дает превосходный культурологический комментарий — но вопрос о том, меняет ли</w:t>
      </w:r>
      <w:r>
        <w:t xml:space="preserve"> </w:t>
      </w:r>
      <w:r>
        <w:rPr>
          <w:i/>
          <w:iCs/>
        </w:rPr>
        <w:t xml:space="preserve">adhyāyana</w:t>
      </w:r>
      <w:r>
        <w:t xml:space="preserve"> </w:t>
      </w:r>
      <w:r>
        <w:t xml:space="preserve">самого читателя или только сообщает ему сведения о тексте, в его аппарате остается за скобками. Из сказанного надежно устанавливается отнесение данного примечания к рубрике «культурная реалия» и к функции</w:t>
      </w:r>
      <w:r>
        <w:t xml:space="preserve"> </w:t>
      </w:r>
      <w:r>
        <w:rPr>
          <w:i/>
          <w:iCs/>
        </w:rPr>
        <w:t xml:space="preserve">ākṣepasamādhāna</w:t>
      </w:r>
      <w:r>
        <w:t xml:space="preserve"> </w:t>
      </w:r>
      <w:r>
        <w:t xml:space="preserve">— это следует непосредственно из текста сноски. Отнесение к культурологическому типу по второму параметру и квалификация по четвертому параметру как «понятие» более интерпретативны: первое зависит от границ самой рубрики, второе — от принятого чтения Парибка. Оба вывода вероятны, но не самоочевидны и при изменении аналитической рамки могут быть оспорены. Этот разбор показывает механизм работы схемы на конкретном тексте, но сам по себе не является решающим свидетельством в пользу предложенной классификации: решающей является совокупность распределения по всем 17 863 примечаниям корпуса, к которой отсылает репозиторий</w:t>
      </w:r>
      <w:r>
        <w:t xml:space="preserve"> </w:t>
      </w:r>
      <w:r>
        <w:rPr>
          <w:i/>
          <w:iCs/>
        </w:rPr>
        <w:t xml:space="preserve">CommentaryStrategies</w:t>
      </w:r>
      <w:r>
        <w:t xml:space="preserve"> </w:t>
      </w:r>
      <w:r>
        <w:t xml:space="preserve">и повторная верификация которой остается задачей дальнейшего исследования.</w:t>
      </w:r>
    </w:p>
    <w:p>
      <w:pPr>
        <w:pStyle w:val="BodyText"/>
      </w:pPr>
      <w:r>
        <w:t xml:space="preserve">Что касается четвертого параметра в целом, анализ показывает: ни один из переводчиков основного корпуса не активирует категориальную разметку по Парибку в явном виде. Здесь необходимо различать два типа нормы комментирования. Академическая норма — та, которой следуют все рассматриваемые переводы:</w:t>
      </w:r>
      <w:r>
        <w:t xml:space="preserve"> </w:t>
      </w:r>
      <w:r>
        <w:rPr>
          <w:i/>
          <w:iCs/>
        </w:rPr>
        <w:t xml:space="preserve">dharma</w:t>
      </w:r>
      <w:r>
        <w:t xml:space="preserve">,</w:t>
      </w:r>
      <w:r>
        <w:t xml:space="preserve"> </w:t>
      </w:r>
      <w:r>
        <w:rPr>
          <w:i/>
          <w:iCs/>
        </w:rPr>
        <w:t xml:space="preserve">ātman</w:t>
      </w:r>
      <w:r>
        <w:t xml:space="preserve">,</w:t>
      </w:r>
      <w:r>
        <w:t xml:space="preserve"> </w:t>
      </w:r>
      <w:r>
        <w:rPr>
          <w:i/>
          <w:iCs/>
        </w:rPr>
        <w:t xml:space="preserve">karma</w:t>
      </w:r>
      <w:r>
        <w:t xml:space="preserve"> </w:t>
      </w:r>
      <w:r>
        <w:t xml:space="preserve">трактуются как понятия, соотносимые с европейской философской и религиоведческой традицией. Практическая норма — та, которой следуют переводы, создававшиеся для практикующих общин или в рамках религиозного образования: там сохранение термина без перевода с развернутым комментарием о направлении деятельности само и является стратегией, причем именно в смысле четвертого параметра. Эти две нормы не образуют шкалы; они принадлежат к разным жанровым системам. Столбец четвертого параметра в таблице, таким образом, фиксирует не различие между переводчиками, а единообразную характеристику одного жанрового типа. Отступление от этой нормы само нуждалось бы в объяснении — и ни одного такого отступления в академическом корпусе не обнаружено. Это самый системный пробел всей академической санскритологии: именно он объясняет, почему индийская комментаторская вертикаль так упорно оставалась за пределами русского аппарата. Вертикаль работает с кодификаторами, академия — с понятиями; это не небрежность и не упущение, а следствие категориального несовпадения двух жанровых систем.</w:t>
      </w:r>
    </w:p>
    <w:bookmarkEnd w:id="18"/>
    <w:bookmarkStart w:id="19" w:name="X04a575abe7edafd5ac86f89051390fe575d636e"/>
    <w:p>
      <w:pPr>
        <w:pStyle w:val="Heading2"/>
      </w:pPr>
      <w:r>
        <w:t xml:space="preserve">§4. Параллельный корпус как среда комментирования</w:t>
      </w:r>
    </w:p>
    <w:p>
      <w:pPr>
        <w:pStyle w:val="FirstParagraph"/>
      </w:pPr>
      <w:r>
        <w:t xml:space="preserve">Описанная выше история стратегий — от кальяновской глоссы к многоголосному аппарату Леонова — может быть прочитана и как история нарастающего диалога переводчика с разными традициями осмысления текста. Если так, то параллельный корпус является для этого диалога не просто пыльным архивом, а средой, в которой разные голоса могут быть размещены рядом и услышаны одновременно.</w:t>
      </w:r>
    </w:p>
    <w:p>
      <w:pPr>
        <w:pStyle w:val="BodyText"/>
      </w:pPr>
      <w:r>
        <w:rPr>
          <w:i/>
          <w:iCs/>
        </w:rPr>
        <w:t xml:space="preserve">Corpus Latino-Rossicum</w:t>
      </w:r>
      <w:r>
        <w:t xml:space="preserve"> </w:t>
      </w:r>
      <w:r>
        <w:t xml:space="preserve">(ИЛИ РАН) предлагает образец такого устройства: поисковый интерфейс с морфологической разметкой позволяет систематически сравнивать переводческие решения не только внутри одной языковой пары, но и между разными традициями (Kazansky 2025: 857–873). Именно этот образец интересен для</w:t>
      </w:r>
      <w:r>
        <w:t xml:space="preserve"> </w:t>
      </w:r>
      <w:r>
        <w:rPr>
          <w:i/>
          <w:iCs/>
        </w:rPr>
        <w:t xml:space="preserve">samskrtam.ru</w:t>
      </w:r>
      <w:r>
        <w:t xml:space="preserve">, который уже располагает внутренней разметкой со стабильными идентификаторами для избранных шлок и примечаний. Это означает, что предложенные четыре параметра технически могут быть перенесены в разметку корпуса без принципиальных структурных изменений; формализованной TEI-схемы на сегодня нет, и ее выработка предстоит.</w:t>
      </w:r>
    </w:p>
    <w:p>
      <w:pPr>
        <w:pStyle w:val="BodyText"/>
      </w:pPr>
      <w:r>
        <w:t xml:space="preserve">Здесь примечательно вот что: само создание такого корпуса является комментаторским жестом. Выстраивая рядом санскритский оригинал, несколько русских переводов и типизированные примечания, исследователь воспроизводит — в цифровой среде — ту же логику, которой следовал индийский составитель антологии комментариев: ни один голос не является единственным, истина складывается из их сопоставления. В этом смысле параллельный корпус — не просто инструмент изучения традиции, а ее продолжение в новой среде.</w:t>
      </w:r>
    </w:p>
    <w:bookmarkEnd w:id="19"/>
    <w:bookmarkStart w:id="20" w:name="промежуточные-выводы"/>
    <w:p>
      <w:pPr>
        <w:pStyle w:val="Heading2"/>
      </w:pPr>
      <w:r>
        <w:t xml:space="preserve">§5. Промежуточные выводы</w:t>
      </w:r>
    </w:p>
    <w:p>
      <w:pPr>
        <w:pStyle w:val="FirstParagraph"/>
      </w:pPr>
      <w:r>
        <w:t xml:space="preserve">Предложенные четыре параметра — тематическая рубрика, тип по корпусной номенклатуре, функция</w:t>
      </w:r>
      <w:r>
        <w:t xml:space="preserve"> </w:t>
      </w:r>
      <w:r>
        <w:rPr>
          <w:i/>
          <w:iCs/>
        </w:rPr>
        <w:t xml:space="preserve">vyākhyāna</w:t>
      </w:r>
      <w:r>
        <w:t xml:space="preserve"> </w:t>
      </w:r>
      <w:r>
        <w:t xml:space="preserve">и категориальный статус термина — позволяют увидеть то, что при обычном чтении остается неразличимым: не просто объем примечания, а тип комментаторской работы, которую переводчик ведет с читателем. Применение схемы к 17 863 примечаниям выявило три устойчивые стратегии: краткий филолого-реальный комментарий с доминирующей функцией</w:t>
      </w:r>
      <w:r>
        <w:t xml:space="preserve"> </w:t>
      </w:r>
      <w:r>
        <w:rPr>
          <w:i/>
          <w:iCs/>
        </w:rPr>
        <w:t xml:space="preserve">padārthokti</w:t>
      </w:r>
      <w:r>
        <w:t xml:space="preserve">; развернутый культурно-исторический комментарий на уровне</w:t>
      </w:r>
      <w:r>
        <w:t xml:space="preserve"> </w:t>
      </w:r>
      <w:r>
        <w:rPr>
          <w:i/>
          <w:iCs/>
        </w:rPr>
        <w:t xml:space="preserve">ākṣepasamādhāna</w:t>
      </w:r>
      <w:r>
        <w:t xml:space="preserve">; и многоисточниковый сопоставительный комментарий, соединяющий индийскую, западную и переводную русскую традиции.</w:t>
      </w:r>
    </w:p>
    <w:p>
      <w:pPr>
        <w:pStyle w:val="BodyText"/>
      </w:pPr>
      <w:r>
        <w:t xml:space="preserve">Из этого вытекает необходимость пересмотра нескольких распространенных представлений. Во-первых, оказывается недостаточным описание аппарата через его объем: минимум треть объема</w:t>
      </w:r>
      <w:r>
        <w:t xml:space="preserve"> </w:t>
      </w:r>
      <w:r>
        <w:t xml:space="preserve">“Литпамятника”</w:t>
      </w:r>
      <w:r>
        <w:t xml:space="preserve"> </w:t>
      </w:r>
      <w:r>
        <w:t xml:space="preserve">занимает справочный аппарат или примечание в 300 знаков может выполнять функцию</w:t>
      </w:r>
      <w:r>
        <w:t xml:space="preserve"> </w:t>
      </w:r>
      <w:r>
        <w:rPr>
          <w:i/>
          <w:iCs/>
        </w:rPr>
        <w:t xml:space="preserve">padārthokti</w:t>
      </w:r>
      <w:r>
        <w:t xml:space="preserve"> </w:t>
      </w:r>
      <w:r>
        <w:t xml:space="preserve">и тем самым принадлежать к первой стратегии, а примечание в 80 знаков —</w:t>
      </w:r>
      <w:r>
        <w:t xml:space="preserve"> </w:t>
      </w:r>
      <w:r>
        <w:rPr>
          <w:i/>
          <w:iCs/>
        </w:rPr>
        <w:t xml:space="preserve">ākṣepasamādhāna</w:t>
      </w:r>
      <w:r>
        <w:t xml:space="preserve"> </w:t>
      </w:r>
      <w:r>
        <w:t xml:space="preserve">и принадлежать ко второй. Во-вторых, доля IAST-транслитерации, нередко трактуемая как показатель «учености» аппарата, оказывается надежным индикатором лишь внутри одной стратегии: у Сыркина 64 % IAST при культурологическом типе, у Кальянова 66 % при реальном — цифры почти совпадают, стратегии принципиально различны. Существенно, что эти вопросы должны решаться не на отдельных примерах, а на совокупности корпусного материала, то есть до 2013 года принципиально решены не могли быть.</w:t>
      </w:r>
    </w:p>
    <w:p>
      <w:pPr>
        <w:pStyle w:val="BodyText"/>
      </w:pPr>
      <w:r>
        <w:t xml:space="preserve">Полученные результаты имеют разную степень надежности, и это различие следует зафиксировать явно. Надежно устанавливается: разграничение трех стратегий по оси</w:t>
      </w:r>
      <w:r>
        <w:t xml:space="preserve"> </w:t>
      </w:r>
      <w:r>
        <w:rPr>
          <w:i/>
          <w:iCs/>
        </w:rPr>
        <w:t xml:space="preserve">padārthokti</w:t>
      </w:r>
      <w:r>
        <w:t xml:space="preserve"> </w:t>
      </w:r>
      <w:r>
        <w:t xml:space="preserve">/</w:t>
      </w:r>
      <w:r>
        <w:t xml:space="preserve"> </w:t>
      </w:r>
      <w:r>
        <w:rPr>
          <w:i/>
          <w:iCs/>
        </w:rPr>
        <w:t xml:space="preserve">ākṣepasamādhāna</w:t>
      </w:r>
      <w:r>
        <w:t xml:space="preserve"> </w:t>
      </w:r>
      <w:r>
        <w:t xml:space="preserve">и системное отсутствие категориальной разметки по четвертому параметру во всем академическом корпусе. Оба наблюдения опираются на завершенный материал достаточного объема и не зависят от данных малых корпусов. Предварительный характер имеют: процентные данные по Эрману (758 примечаний; возможна случайность распределения), данные по Леонову (черновик рукописи) и утверждение о корреляции первого–второго параметров с третьим (требует проверки на пересекающемся корпусе Кальянова и Василькова–Невелевой, пересечение, которое и в дальнейшем маловероятно). Вопрос о воспроизводимости разметки независимым исследователем пока не может быть решен окончательно и составляет первоочередную задачу верификации.</w:t>
      </w:r>
    </w:p>
    <w:p>
      <w:pPr>
        <w:pStyle w:val="BodyText"/>
      </w:pPr>
      <w:r>
        <w:t xml:space="preserve">Таким образом, переводческое примечание оказывается не только справочным инструментом, но и свидетельством об институциональных условиях, в которых санскритский текст становился доступным на русском языке: о том, каким представлялся предполагаемый читатель, каким — необходимый объем объяснения и в каком диалоге с традицией — индийской, европейской или одновременно обеими — мыслил себя переводчик. История русских комментаторских стратегий последнего столетия допускает в этом смысле прочтение как история последовательной смены жанровых горизонтов, каждый из которых определял, что в тексте считается очевидным, а что — требующим слова.</w:t>
      </w:r>
    </w:p>
    <w:p>
      <w:pPr>
        <w:pStyle w:val="BodyText"/>
      </w:pPr>
      <w:r>
        <w:t xml:space="preserve">Примечание Эрмана к слову</w:t>
      </w:r>
      <w:r>
        <w:t xml:space="preserve"> </w:t>
      </w:r>
      <w:r>
        <w:rPr>
          <w:i/>
          <w:iCs/>
        </w:rPr>
        <w:t xml:space="preserve">adhyāyana</w:t>
      </w:r>
      <w:r>
        <w:t xml:space="preserve">, с которого начиналась эта статья, теперь можно прочитать иначе: это не просто удачная сноска и не исключение из правил. Это свидетельство о том, что разговор через эпохи — между академическим переводчиком и средневековым санскритским комментатором — возможен именно тогда, когда переводчик выбирает стратегию</w:t>
      </w:r>
      <w:r>
        <w:t xml:space="preserve"> </w:t>
      </w:r>
      <w:r>
        <w:rPr>
          <w:i/>
          <w:iCs/>
        </w:rPr>
        <w:t xml:space="preserve">ākṣepasamādhāna</w:t>
      </w:r>
      <w:r>
        <w:t xml:space="preserve">: не глоссирует, а рассуждает. Так небольшая деталь оказывается признаком большой системы.</w:t>
      </w:r>
    </w:p>
    <w:bookmarkEnd w:id="20"/>
    <w:bookmarkStart w:id="21" w:name="литература"/>
    <w:p>
      <w:pPr>
        <w:pStyle w:val="Heading2"/>
      </w:pPr>
      <w:r>
        <w:t xml:space="preserve">Литература</w:t>
      </w:r>
    </w:p>
    <w:p>
      <w:pPr>
        <w:pStyle w:val="FirstParagraph"/>
      </w:pPr>
      <w:r>
        <w:t xml:space="preserve">Burba, D. 2009:</w:t>
      </w:r>
      <w:r>
        <w:t xml:space="preserve"> </w:t>
      </w:r>
      <w:r>
        <w:rPr>
          <w:i/>
          <w:iCs/>
        </w:rPr>
        <w:t xml:space="preserve">Bhagavadgita</w:t>
      </w:r>
      <w:r>
        <w:t xml:space="preserve"> </w:t>
      </w:r>
      <w:r>
        <w:t xml:space="preserve">[Bhagavad Gita]. Moscow: RIPOL-klassik. (In Russian: Бурба, Д. 2009:</w:t>
      </w:r>
      <w:r>
        <w:t xml:space="preserve"> </w:t>
      </w:r>
      <w:r>
        <w:rPr>
          <w:i/>
          <w:iCs/>
        </w:rPr>
        <w:t xml:space="preserve">Бхагавадгита</w:t>
      </w:r>
      <w:r>
        <w:t xml:space="preserve"> </w:t>
      </w:r>
      <w:r>
        <w:t xml:space="preserve">/ пер. с санскрита, сост., предисл., примеч. Д. Бурбы. М.: РИПОЛ-классик.)</w:t>
      </w:r>
    </w:p>
    <w:p>
      <w:pPr>
        <w:pStyle w:val="BodyText"/>
      </w:pPr>
      <w:r>
        <w:t xml:space="preserve">CommentaryStrategies 2026:</w:t>
      </w:r>
      <w:r>
        <w:t xml:space="preserve"> </w:t>
      </w:r>
      <w:r>
        <w:rPr>
          <w:i/>
          <w:iCs/>
        </w:rPr>
        <w:t xml:space="preserve">Repozitorij analiticheskoj razmetki russkih perevodov sanskritskih tekstov</w:t>
      </w:r>
      <w:r>
        <w:t xml:space="preserve"> </w:t>
      </w:r>
      <w:r>
        <w:t xml:space="preserve">[Repository of analytical markup for Russian translations of Sanskrit texts]. URL: https://github.com/gasyoun/CommentaryStrategies (accessed: 01.05.2026). (In Russian:</w:t>
      </w:r>
      <w:r>
        <w:t xml:space="preserve"> </w:t>
      </w:r>
      <w:r>
        <w:rPr>
          <w:i/>
          <w:iCs/>
        </w:rPr>
        <w:t xml:space="preserve">CommentaryStrategies</w:t>
      </w:r>
      <w:r>
        <w:t xml:space="preserve"> </w:t>
      </w:r>
      <w:r>
        <w:t xml:space="preserve">— Репозиторий аналитической разметки русских переводов санскритских текстов. URL: https://github.com/gasyoun/CommentaryStrategies (дата обращения: 01.05.2026).)</w:t>
      </w:r>
    </w:p>
    <w:p>
      <w:pPr>
        <w:pStyle w:val="BodyText"/>
      </w:pPr>
      <w:r>
        <w:t xml:space="preserve">Corpus Latino-Rossicum 2026:</w:t>
      </w:r>
      <w:r>
        <w:t xml:space="preserve"> </w:t>
      </w:r>
      <w:r>
        <w:rPr>
          <w:i/>
          <w:iCs/>
        </w:rPr>
        <w:t xml:space="preserve">Russko-latinskij parallel’nyj korpus, ILI RAN</w:t>
      </w:r>
      <w:r>
        <w:t xml:space="preserve"> </w:t>
      </w:r>
      <w:r>
        <w:t xml:space="preserve">[Russian-Latin parallel corpus, ILS RAS]. URL: https://clr.iling.spb.ru (accessed: 01.05.2026). (In Russian:</w:t>
      </w:r>
      <w:r>
        <w:t xml:space="preserve"> </w:t>
      </w:r>
      <w:r>
        <w:rPr>
          <w:i/>
          <w:iCs/>
        </w:rPr>
        <w:t xml:space="preserve">Corpus Latino-Rossicum</w:t>
      </w:r>
      <w:r>
        <w:t xml:space="preserve"> </w:t>
      </w:r>
      <w:r>
        <w:t xml:space="preserve">— Русско-латинский параллельный корпус, ИЛИ РАН. URL: https://clr.iling.spb.ru (дата обращения: 01.05.2026).)</w:t>
      </w:r>
    </w:p>
    <w:p>
      <w:pPr>
        <w:pStyle w:val="BodyText"/>
      </w:pPr>
      <w:r>
        <w:t xml:space="preserve">Erman, V. G. 2009:</w:t>
      </w:r>
      <w:r>
        <w:t xml:space="preserve"> </w:t>
      </w:r>
      <w:r>
        <w:rPr>
          <w:i/>
          <w:iCs/>
        </w:rPr>
        <w:t xml:space="preserve">Mahabharata. Kniga shestaya. Bhishmaparva</w:t>
      </w:r>
      <w:r>
        <w:t xml:space="preserve"> </w:t>
      </w:r>
      <w:r>
        <w:t xml:space="preserve">[Mahabharata. Book Six. Bhishmaparva]. Moscow: Ladomir. (In Russian: Эрман, В. Г. 2009:</w:t>
      </w:r>
      <w:r>
        <w:t xml:space="preserve"> </w:t>
      </w:r>
      <w:r>
        <w:rPr>
          <w:i/>
          <w:iCs/>
        </w:rPr>
        <w:t xml:space="preserve">Махабхарата. Книга шестая. Бхишмапарва</w:t>
      </w:r>
      <w:r>
        <w:t xml:space="preserve"> </w:t>
      </w:r>
      <w:r>
        <w:t xml:space="preserve">/ пер. с санскрита, предисл. и коммент. В. Г. Эрмана. М.: Ладомир.)</w:t>
      </w:r>
    </w:p>
    <w:p>
      <w:pPr>
        <w:pStyle w:val="BodyText"/>
      </w:pPr>
      <w:r>
        <w:t xml:space="preserve">Goldman, R. P. (general editor) 1984–2017:</w:t>
      </w:r>
      <w:r>
        <w:t xml:space="preserve"> </w:t>
      </w:r>
      <w:r>
        <w:rPr>
          <w:i/>
          <w:iCs/>
        </w:rPr>
        <w:t xml:space="preserve">The Rāmāyaṇa of Vālmīki: An Epic of Ancient India</w:t>
      </w:r>
      <w:r>
        <w:t xml:space="preserve">. 7 vols. Princeton: Princeton University Press.</w:t>
      </w:r>
    </w:p>
    <w:p>
      <w:pPr>
        <w:pStyle w:val="BodyText"/>
      </w:pPr>
      <w:r>
        <w:t xml:space="preserve">Goldman, R. P., Sutherland Goldman, S. 2006:</w:t>
      </w:r>
      <w:r>
        <w:t xml:space="preserve"> </w:t>
      </w:r>
      <w:r>
        <w:rPr>
          <w:i/>
          <w:iCs/>
        </w:rPr>
        <w:t xml:space="preserve">Vālmīki. Rāmāyaṇa Book Five: Sundara</w:t>
      </w:r>
      <w:r>
        <w:t xml:space="preserve">. New York: NYU Press; JJC Foundation.</w:t>
      </w:r>
    </w:p>
    <w:p>
      <w:pPr>
        <w:pStyle w:val="BodyText"/>
      </w:pPr>
      <w:r>
        <w:t xml:space="preserve">Grintser, P. A. 2006, 2014:</w:t>
      </w:r>
      <w:r>
        <w:t xml:space="preserve"> </w:t>
      </w:r>
      <w:r>
        <w:rPr>
          <w:i/>
          <w:iCs/>
        </w:rPr>
        <w:t xml:space="preserve">Valmiki. Ramayana</w:t>
      </w:r>
      <w:r>
        <w:t xml:space="preserve"> </w:t>
      </w:r>
      <w:r>
        <w:t xml:space="preserve">[Valmiki. Ramayana]. Kn. 1–3. Moscow: Ladomir; Nauka. (In Russian: Гринцер, П. А. 2006, 2014:</w:t>
      </w:r>
      <w:r>
        <w:t xml:space="preserve"> </w:t>
      </w:r>
      <w:r>
        <w:rPr>
          <w:i/>
          <w:iCs/>
        </w:rPr>
        <w:t xml:space="preserve">Вальмики. Рамаяна</w:t>
      </w:r>
      <w:r>
        <w:t xml:space="preserve"> </w:t>
      </w:r>
      <w:r>
        <w:t xml:space="preserve">/ пер. с санскрита, ст., коммент. П. А. Гринцера. Кн. 1–2. М.: Ладомир; Наука, 2006. Кн. 3. М.: Ладомир; Наука, 2014.)</w:t>
      </w:r>
    </w:p>
    <w:p>
      <w:pPr>
        <w:pStyle w:val="BodyText"/>
      </w:pPr>
      <w:r>
        <w:t xml:space="preserve">Jhalakikar, Bh. 1928 [1978]:</w:t>
      </w:r>
      <w:r>
        <w:t xml:space="preserve"> </w:t>
      </w:r>
      <w:r>
        <w:rPr>
          <w:i/>
          <w:iCs/>
        </w:rPr>
        <w:t xml:space="preserve">Nyāyakośa, or Dictionary of Technical Terms of Indian Philosophy</w:t>
      </w:r>
      <w:r>
        <w:t xml:space="preserve"> </w:t>
      </w:r>
      <w:r>
        <w:t xml:space="preserve">/ revised and re-edited by Vāsudev Shāstri Abhyankar. 3rd ed. Poona: Bhandarkar Oriental Research Institute (4th ed. 1978).</w:t>
      </w:r>
    </w:p>
    <w:p>
      <w:pPr>
        <w:pStyle w:val="BodyText"/>
      </w:pPr>
      <w:r>
        <w:t xml:space="preserve">Kal’yanov, V. I. (transl.) 1950–1996:</w:t>
      </w:r>
      <w:r>
        <w:t xml:space="preserve"> </w:t>
      </w:r>
      <w:r>
        <w:rPr>
          <w:i/>
          <w:iCs/>
        </w:rPr>
        <w:t xml:space="preserve">Mahabharata</w:t>
      </w:r>
      <w:r>
        <w:t xml:space="preserve"> </w:t>
      </w:r>
      <w:r>
        <w:t xml:space="preserve">[Mahabharata]. Kn. I, II, IV, V, VII, IX. Moscow; Leningrad: Izd-vo AN SSSR; Nauka; Ladomir. (In Russian: Кальянов, В. И. 1950–1996:</w:t>
      </w:r>
      <w:r>
        <w:t xml:space="preserve"> </w:t>
      </w:r>
      <w:r>
        <w:rPr>
          <w:i/>
          <w:iCs/>
        </w:rPr>
        <w:t xml:space="preserve">Махабхарата</w:t>
      </w:r>
      <w:r>
        <w:t xml:space="preserve">. Кн. I, II, IV, V, VII, IX / пер. с санскрита и коммент. В. И. Кальянова. М.; Л.: Изд-во АН СССР; Наука; Ладомир.)</w:t>
      </w:r>
    </w:p>
    <w:p>
      <w:pPr>
        <w:pStyle w:val="BodyText"/>
      </w:pPr>
      <w:r>
        <w:t xml:space="preserve">Kazansky, N. N. 2025: Problemy kommentirovaniya i sopostavleniya v russko-latinskom parallel’nom korpuse [Problems of commenting and comparison in the Russian-Latin parallel corpus]. In:</w:t>
      </w:r>
      <w:r>
        <w:t xml:space="preserve"> </w:t>
      </w:r>
      <w:r>
        <w:rPr>
          <w:i/>
          <w:iCs/>
        </w:rPr>
        <w:t xml:space="preserve">Indoevropeiskoe yazykoznanie i klassicheskaya filologiya</w:t>
      </w:r>
      <w:r>
        <w:t xml:space="preserve"> </w:t>
      </w:r>
      <w:r>
        <w:t xml:space="preserve">[Indo-European Linguistics and Classical Philology] 29, 857–873. (In Russian: Казанский, Н. Н. 2025: Проблемы комментирования и сопоставления в русско-латинском параллельном корпусе. В сб.:</w:t>
      </w:r>
      <w:r>
        <w:t xml:space="preserve"> </w:t>
      </w:r>
      <w:r>
        <w:rPr>
          <w:i/>
          <w:iCs/>
        </w:rPr>
        <w:t xml:space="preserve">Индоевропейское языкознание и классическая филология</w:t>
      </w:r>
      <w:r>
        <w:t xml:space="preserve"> </w:t>
      </w:r>
      <w:r>
        <w:t xml:space="preserve">29, 857–873.)</w:t>
      </w:r>
    </w:p>
    <w:p>
      <w:pPr>
        <w:pStyle w:val="BodyText"/>
      </w:pPr>
      <w:r>
        <w:t xml:space="preserve">Lidova, N. R. 2024: Kommentarij v Drevnej Indii [Commentary in Ancient India]. In:</w:t>
      </w:r>
      <w:r>
        <w:t xml:space="preserve"> </w:t>
      </w:r>
      <w:r>
        <w:rPr>
          <w:i/>
          <w:iCs/>
        </w:rPr>
        <w:t xml:space="preserve">Kommentarij kak kul’turnyj fenomen</w:t>
      </w:r>
      <w:r>
        <w:t xml:space="preserve"> </w:t>
      </w:r>
      <w:r>
        <w:t xml:space="preserve">[Commentary as a Cultural Phenomenon]. Moscow: IMLI RAN, 31–66. (In Russian: Лидова, Н. Р. 2024: Комментарий в Древней Индии. В сб.:</w:t>
      </w:r>
      <w:r>
        <w:t xml:space="preserve"> </w:t>
      </w:r>
      <w:r>
        <w:rPr>
          <w:i/>
          <w:iCs/>
        </w:rPr>
        <w:t xml:space="preserve">Комментарий как культурный феномен</w:t>
      </w:r>
      <w:r>
        <w:t xml:space="preserve">. М.: ИМЛИ РАН, 31–66.)</w:t>
      </w:r>
    </w:p>
    <w:p>
      <w:pPr>
        <w:pStyle w:val="BodyText"/>
      </w:pPr>
      <w:r>
        <w:t xml:space="preserve">Malhotra, R., Dasa Babaji, S., Misra, N. 2020:</w:t>
      </w:r>
      <w:r>
        <w:t xml:space="preserve"> </w:t>
      </w:r>
      <w:r>
        <w:rPr>
          <w:i/>
          <w:iCs/>
        </w:rPr>
        <w:t xml:space="preserve">Sanskrit non-translatables: the importance of Sanskritizing English</w:t>
      </w:r>
      <w:r>
        <w:t xml:space="preserve">. New Delhi: Amaryllis.</w:t>
      </w:r>
    </w:p>
    <w:p>
      <w:pPr>
        <w:pStyle w:val="BodyText"/>
      </w:pPr>
      <w:r>
        <w:t xml:space="preserve">Paribok, A. V. 2007: O nekotoryh funkcional’nyh osobennostyah indijskogo korennogo teksta [On some functional features of the Indian root text]. In:</w:t>
      </w:r>
      <w:r>
        <w:t xml:space="preserve"> </w:t>
      </w:r>
      <w:r>
        <w:rPr>
          <w:i/>
          <w:iCs/>
        </w:rPr>
        <w:t xml:space="preserve">Filosofiya, religiya i kul’tura stran Vostoka</w:t>
      </w:r>
      <w:r>
        <w:t xml:space="preserve"> </w:t>
      </w:r>
      <w:r>
        <w:t xml:space="preserve">[Philosophy, Religion and Culture of the Countries of the East]. St. Petersburg: Izd-vo SPbGU, 262–267. (In Russian: Парибок, А. В. 2007: О некоторых функциональных особенностях индийского коренного текста. В сб.:</w:t>
      </w:r>
      <w:r>
        <w:t xml:space="preserve"> </w:t>
      </w:r>
      <w:r>
        <w:rPr>
          <w:i/>
          <w:iCs/>
        </w:rPr>
        <w:t xml:space="preserve">Философия, религия и культура стран Востока</w:t>
      </w:r>
      <w:r>
        <w:t xml:space="preserve">. СПб.: Изд-во СПбГУ, 262–267.)</w:t>
      </w:r>
    </w:p>
    <w:p>
      <w:pPr>
        <w:pStyle w:val="BodyText"/>
      </w:pPr>
      <w:r>
        <w:t xml:space="preserve">Paribok, A. V. 2011: Uroven’ smysla v tekstah shastr: koncepty ili ponyatiya? [The level of meaning in shastra texts: concepts or notions?]. In:</w:t>
      </w:r>
      <w:r>
        <w:t xml:space="preserve"> </w:t>
      </w:r>
      <w:r>
        <w:rPr>
          <w:i/>
          <w:iCs/>
        </w:rPr>
        <w:t xml:space="preserve">Shabdaprakasha. Zografskii sbornik I</w:t>
      </w:r>
      <w:r>
        <w:t xml:space="preserve"> </w:t>
      </w:r>
      <w:r>
        <w:t xml:space="preserve">[Shabdaprakasha. Zograf collection I]. St. Petersburg, 80–86. (In Russian: Парибок, А. В. 2011: Уровень смысла в текстах шастр: концепты или понятия? В сб.:</w:t>
      </w:r>
      <w:r>
        <w:t xml:space="preserve"> </w:t>
      </w:r>
      <w:r>
        <w:rPr>
          <w:i/>
          <w:iCs/>
        </w:rPr>
        <w:t xml:space="preserve">Шабдапракаша. Зографский сборник I</w:t>
      </w:r>
      <w:r>
        <w:t xml:space="preserve">. СПб., 80–86.)</w:t>
      </w:r>
    </w:p>
    <w:p>
      <w:pPr>
        <w:pStyle w:val="BodyText"/>
      </w:pPr>
      <w:r>
        <w:t xml:space="preserve">samskrtam.ru 2026:</w:t>
      </w:r>
      <w:r>
        <w:t xml:space="preserve"> </w:t>
      </w:r>
      <w:r>
        <w:rPr>
          <w:i/>
          <w:iCs/>
        </w:rPr>
        <w:t xml:space="preserve">Parallel’nyj korpus sanskritskih tekstov s russkimi perevodami</w:t>
      </w:r>
      <w:r>
        <w:t xml:space="preserve"> </w:t>
      </w:r>
      <w:r>
        <w:t xml:space="preserve">[Parallel corpus of Sanskrit texts with Russian translations]. URL: https://samskrtam.ru/parallel-corpus/ (accessed: 01.05.2026). (In Russian:</w:t>
      </w:r>
      <w:r>
        <w:t xml:space="preserve"> </w:t>
      </w:r>
      <w:r>
        <w:rPr>
          <w:i/>
          <w:iCs/>
        </w:rPr>
        <w:t xml:space="preserve">samskrtam.ru</w:t>
      </w:r>
      <w:r>
        <w:t xml:space="preserve"> </w:t>
      </w:r>
      <w:r>
        <w:t xml:space="preserve">— Параллельный корпус санскритских текстов с русскими переводами. URL: https://samskrtam.ru/parallel-corpus/ (дата обращения: 01.05.2026).)</w:t>
      </w:r>
    </w:p>
    <w:p>
      <w:pPr>
        <w:pStyle w:val="BodyText"/>
      </w:pPr>
      <w:r>
        <w:t xml:space="preserve">Syrkin, A. Ya. (transl.) 1992:</w:t>
      </w:r>
      <w:r>
        <w:t xml:space="preserve"> </w:t>
      </w:r>
      <w:r>
        <w:rPr>
          <w:i/>
          <w:iCs/>
        </w:rPr>
        <w:t xml:space="preserve">Upanishady</w:t>
      </w:r>
      <w:r>
        <w:t xml:space="preserve"> </w:t>
      </w:r>
      <w:r>
        <w:t xml:space="preserve">[Upanishads]. V 3 kn. Moscow: Nauka. (In Russian: Сыркин, А. Я. (пер., предисл., прим.) 1992:</w:t>
      </w:r>
      <w:r>
        <w:t xml:space="preserve"> </w:t>
      </w:r>
      <w:r>
        <w:rPr>
          <w:i/>
          <w:iCs/>
        </w:rPr>
        <w:t xml:space="preserve">Упанишады</w:t>
      </w:r>
      <w:r>
        <w:t xml:space="preserve">. В 3 кн. М.: Наука.)</w:t>
      </w:r>
    </w:p>
    <w:p>
      <w:pPr>
        <w:pStyle w:val="BodyText"/>
      </w:pPr>
      <w:r>
        <w:t xml:space="preserve">Tubb, G. A., Boose, E. R. 2007:</w:t>
      </w:r>
      <w:r>
        <w:t xml:space="preserve"> </w:t>
      </w:r>
      <w:r>
        <w:rPr>
          <w:i/>
          <w:iCs/>
        </w:rPr>
        <w:t xml:space="preserve">Scholastic Sanskrit: A Handbook for Students</w:t>
      </w:r>
      <w:r>
        <w:t xml:space="preserve">. New York: American Institute of Buddhist Studies; Columbia University’s Center for Buddhist Studies; Tibet House US.</w:t>
      </w:r>
    </w:p>
    <w:p>
      <w:pPr>
        <w:pStyle w:val="BodyText"/>
      </w:pPr>
      <w:r>
        <w:t xml:space="preserve">Vassilkov, Ya. V., Neveleva, S. L. 1987–2005:</w:t>
      </w:r>
      <w:r>
        <w:t xml:space="preserve"> </w:t>
      </w:r>
      <w:r>
        <w:rPr>
          <w:i/>
          <w:iCs/>
        </w:rPr>
        <w:t xml:space="preserve">Mahabharata</w:t>
      </w:r>
      <w:r>
        <w:t xml:space="preserve"> </w:t>
      </w:r>
      <w:r>
        <w:t xml:space="preserve">[Mahabharata]. Kn. III, VIII, X–XI, XIV, XV–XVIII. Moscow; St. Petersburg: Nauka; Yanus-K. (In Russian: Васильков, Я. В., Невелева, С. Л. 1987–2005:</w:t>
      </w:r>
      <w:r>
        <w:t xml:space="preserve"> </w:t>
      </w:r>
      <w:r>
        <w:rPr>
          <w:i/>
          <w:iCs/>
        </w:rPr>
        <w:t xml:space="preserve">Махабхарата</w:t>
      </w:r>
      <w:r>
        <w:t xml:space="preserve">. Кн. III, VIII, X–XI, XIV, XV–XVIII / пер. с санскрита, предисл. и коммент. Я. В. Василькова и С. Л. Невелевой. М.; СПб.: Наука; Янус-К.)</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Согласно устному высказыванию И. Е. Толчельникова (личн. сообщ., 2026), выбор В. Г. Эрмана в переводе Бхагавадгиты 4.24 (Erman, 2009: 374–375) заслуживает отдельного внимания. Классические комментаторы — от Шанкары до Рамануджи — единодушно трактуют композит</w:t>
      </w:r>
      <w:r>
        <w:t xml:space="preserve"> </w:t>
      </w:r>
      <w:r>
        <w:rPr>
          <w:i/>
          <w:iCs/>
        </w:rPr>
        <w:t xml:space="preserve">brahma-karma</w:t>
      </w:r>
      <w:r>
        <w:t xml:space="preserve"> </w:t>
      </w:r>
      <w:r>
        <w:t xml:space="preserve">как кармадхараю (</w:t>
      </w:r>
      <w:r>
        <w:rPr>
          <w:i/>
          <w:iCs/>
        </w:rPr>
        <w:t xml:space="preserve">karmadhāraya</w:t>
      </w:r>
      <w:r>
        <w:t xml:space="preserve">): «деяние, являющееся Брахманом». Эрман переводит его как целевой татпуруша (</w:t>
      </w:r>
      <w:r>
        <w:rPr>
          <w:i/>
          <w:iCs/>
        </w:rPr>
        <w:t xml:space="preserve">tatpuruṣa</w:t>
      </w:r>
      <w:r>
        <w:t xml:space="preserve">): «деяние ради Брахмана» — интерпретация, по всей видимости восходящая через С. Дасгупту к Шридхаре Свами. Это ведет к нарушению грамматического параллелизма первой половины строфы, где все факторы действия (</w:t>
      </w:r>
      <w:r>
        <w:rPr>
          <w:i/>
          <w:iCs/>
        </w:rPr>
        <w:t xml:space="preserve">kāraka</w:t>
      </w:r>
      <w:r>
        <w:t xml:space="preserve">) отождествляются с Брахманом напрямую, и смещает акцент с недвойственного созерцания (</w:t>
      </w:r>
      <w:r>
        <w:rPr>
          <w:i/>
          <w:iCs/>
        </w:rPr>
        <w:t xml:space="preserve">jñāna</w:t>
      </w:r>
      <w:r>
        <w:t xml:space="preserve">) на теоцентрическое служение (</w:t>
      </w:r>
      <w:r>
        <w:rPr>
          <w:i/>
          <w:iCs/>
        </w:rPr>
        <w:t xml:space="preserve">bhakti</w:t>
      </w:r>
      <w:r>
        <w:t xml:space="preserve">). Чтение через кармадхараю опирается на системность и грамматическую последовательность текста и не требует данных поздних школ; версия целевого татпуруши требует внешних допущений, нарушающих внутреннюю логику строфы. Выбор Эрмана следует признать не случайной ошибкой, а сознательным, хотя грамматически уязвимым, смещением толкования в сторону вторичной комментаторской традиции.</w:t>
      </w:r>
    </w:p>
  </w:footnote>
  <w:footnote w:id="13">
    <w:p>
      <w:pPr>
        <w:pStyle w:val="FootnoteText"/>
      </w:pPr>
      <w:r>
        <w:rPr>
          <w:rStyle w:val="FootnoteReference"/>
        </w:rPr>
        <w:footnoteRef/>
      </w:r>
      <w:r>
        <w:t xml:space="preserve"> </w:t>
      </w:r>
      <w:r>
        <w:t xml:space="preserve">Разделение комментария на грамматический, исторический, комментарий к реалиям и литературный восходит к классической филологии XIX в. (в частности, к А. Беку).</w:t>
      </w:r>
    </w:p>
  </w:footnote>
  <w:footnote w:id="14">
    <w:p>
      <w:pPr>
        <w:pStyle w:val="FootnoteText"/>
      </w:pPr>
      <w:r>
        <w:rPr>
          <w:rStyle w:val="FootnoteReference"/>
        </w:rPr>
        <w:footnoteRef/>
      </w:r>
      <w:r>
        <w:t xml:space="preserve"> </w:t>
      </w:r>
      <w:r>
        <w:t xml:space="preserve">Ср. пословный грамматический разбор в функции</w:t>
      </w:r>
      <w:r>
        <w:t xml:space="preserve"> </w:t>
      </w:r>
      <w:r>
        <w:rPr>
          <w:i/>
          <w:iCs/>
        </w:rPr>
        <w:t xml:space="preserve">padaccheda</w:t>
      </w:r>
      <w:r>
        <w:t xml:space="preserve"> </w:t>
      </w:r>
      <w:r>
        <w:t xml:space="preserve">и</w:t>
      </w:r>
      <w:r>
        <w:t xml:space="preserve"> </w:t>
      </w:r>
      <w:r>
        <w:rPr>
          <w:i/>
          <w:iCs/>
        </w:rPr>
        <w:t xml:space="preserve">padārthokti</w:t>
      </w:r>
      <w:r>
        <w:t xml:space="preserve"> </w:t>
      </w:r>
      <w:r>
        <w:t xml:space="preserve">в переводе «Бхагавадгиты» Д. Бурбы (Burba 2009).</w:t>
      </w:r>
    </w:p>
  </w:footnote>
  <w:footnote w:id="15">
    <w:p>
      <w:pPr>
        <w:pStyle w:val="FootnoteText"/>
      </w:pPr>
      <w:r>
        <w:rPr>
          <w:rStyle w:val="FootnoteReference"/>
        </w:rPr>
        <w:footnoteRef/>
      </w:r>
      <w:r>
        <w:t xml:space="preserve"> </w:t>
      </w:r>
      <w:r>
        <w:t xml:space="preserve">Ср.: «</w:t>
      </w:r>
      <w:r>
        <w:t xml:space="preserve">“Ложные друзья переводчика”</w:t>
      </w:r>
      <w:r>
        <w:t xml:space="preserve"> </w:t>
      </w:r>
      <w:r>
        <w:t xml:space="preserve">санскрита — явление не стилистическое, а категориальное» (Malhotra, Dasa Babaji, Misra 2020).</w:t>
      </w:r>
    </w:p>
  </w:footnote>
  <w:footnote w:id="17">
    <w:p>
      <w:pPr>
        <w:pStyle w:val="FootnoteText"/>
      </w:pPr>
      <w:r>
        <w:rPr>
          <w:rStyle w:val="FootnoteReference"/>
        </w:rPr>
        <w:footnoteRef/>
      </w:r>
      <w:r>
        <w:t xml:space="preserve"> </w:t>
      </w:r>
      <w:r>
        <w:t xml:space="preserve">Вопрос о том, работал ли Кальянов преимущественно с английским посредником, лишь сверяясь с санскритом, требует отдельного корпусного исследования.</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340"/>
    </w:pPr>
    <w:rPr>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z w:val="20"/>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Комментаторские стратегии русских переводчиков санскритского эпоса</dc:title>
  <dc:creator/>
  <dc:language>ru</dc:language>
  <cp:keywords>переводческая стратегия, типология комментария, санскритский комментарий, академический комментарий, научный аппарат, параллельный корпус, методология корпусного анализа, глоссирование, кодификаторы, перевод с санскрита, древнеиндийский эпос, Махабхарата, Рамаяна, Сундараканда, история отечественного востоковедения</cp:keywords>
  <dcterms:created xsi:type="dcterms:W3CDTF">2026-05-02T21:53:32Z</dcterms:created>
  <dcterms:modified xsi:type="dcterms:W3CDTF">2026-05-02T21:53:32Z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eywords-en">
    <vt:lpwstr/>
  </property>
</Properties>
</file>