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Комментаторские стратегии русских переводчиков санскритских текстов</w:t>
      </w:r>
    </w:p>
    <w:p>
      <w:pPr>
        <w:pStyle w:val="Author"/>
      </w:pPr>
      <w:r>
        <w:t xml:space="preserve">Гасунс М.</w:t>
      </w:r>
    </w:p>
    <w:bookmarkStart w:id="21" w:name="X07169c5896b01f598d6656562c6795bafb2b1d9"/>
    <w:p>
      <w:pPr>
        <w:pStyle w:val="Heading1"/>
      </w:pPr>
      <w:r>
        <w:t xml:space="preserve">Комментаторские стратегии русских переводчиков санскритских текстов</w:t>
      </w:r>
    </w:p>
    <w:bookmarkStart w:id="9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В статье рассматриваются способы организации комментария в русских академических переводах санскритских текстов. Материалом служат 17 863 примечания к переводам Махабхараты, Рамаяны и упанишад (В. И. Кальянов, Я. В. Васильков и С. Л. Невелева, В. Г. Эрман, П. А. Гринцер, А. Я. Сыркин), агрегированные в репозитории</w:t>
      </w:r>
      <w:r>
        <w:t xml:space="preserve"> </w:t>
      </w:r>
      <w:r>
        <w:rPr>
          <w:i/>
          <w:iCs/>
        </w:rPr>
        <w:t xml:space="preserve">CommentaryStrategies</w:t>
      </w:r>
      <w:r>
        <w:t xml:space="preserve">, а также продолжающийся перевод Сундараканды М. В. Леонова. Предлагается четырёхпараметрическое описание переводческого примечания: тематическая рубрика; базовый тип комментария по классической номенклатуре, адаптированной Н. Н. Казанским для корпусов; структурная функция объяснения по традиционной формуле пяти признаков</w:t>
      </w:r>
      <w:r>
        <w:t xml:space="preserve"> </w:t>
      </w:r>
      <w:r>
        <w:rPr>
          <w:i/>
          <w:iCs/>
        </w:rPr>
        <w:t xml:space="preserve">vyākhyāna</w:t>
      </w:r>
      <w:r>
        <w:t xml:space="preserve">; категориальный статус санскритского термина по А. В. Парибку. Особо обсуждается атрибуция формулы пяти</w:t>
      </w:r>
      <w:r>
        <w:t xml:space="preserve"> </w:t>
      </w:r>
      <w:r>
        <w:rPr>
          <w:i/>
          <w:iCs/>
        </w:rPr>
        <w:t xml:space="preserve">lakṣaṇa</w:t>
      </w:r>
      <w:r>
        <w:t xml:space="preserve"> </w:t>
      </w:r>
      <w:r>
        <w:t xml:space="preserve">— она восходит к стиху из</w:t>
      </w:r>
      <w:r>
        <w:t xml:space="preserve"> </w:t>
      </w:r>
      <w:r>
        <w:rPr>
          <w:i/>
          <w:iCs/>
        </w:rPr>
        <w:t xml:space="preserve">Parāśarapurāṇa</w:t>
      </w:r>
      <w:r>
        <w:t xml:space="preserve">, цитируемому в</w:t>
      </w:r>
      <w:r>
        <w:t xml:space="preserve"> </w:t>
      </w:r>
      <w:r>
        <w:rPr>
          <w:i/>
          <w:iCs/>
        </w:rPr>
        <w:t xml:space="preserve">Nyāyakośa</w:t>
      </w:r>
      <w:r>
        <w:t xml:space="preserve">, а в современной литературе обсуждается у Г. А. Табба и Э. Р. Буза, а также у Н. Р. Лидовой. На материале термина</w:t>
      </w:r>
      <w:r>
        <w:t xml:space="preserve"> </w:t>
      </w:r>
      <w:r>
        <w:rPr>
          <w:i/>
          <w:iCs/>
        </w:rPr>
        <w:t xml:space="preserve">adhyakṣa</w:t>
      </w:r>
      <w:r>
        <w:t xml:space="preserve"> </w:t>
      </w:r>
      <w:r>
        <w:t xml:space="preserve">в Артхашастре показана работа предложенной рамки за пределами эпического корпуса.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комментарий, перевод, санскрит, типология комментария, параллельный корпус,</w:t>
      </w:r>
      <w:r>
        <w:t xml:space="preserve"> </w:t>
      </w:r>
      <w:r>
        <w:rPr>
          <w:i/>
          <w:iCs/>
        </w:rPr>
        <w:t xml:space="preserve">bhāṣya</w:t>
      </w:r>
      <w:r>
        <w:t xml:space="preserve">,</w:t>
      </w:r>
      <w:r>
        <w:t xml:space="preserve"> </w:t>
      </w:r>
      <w:r>
        <w:rPr>
          <w:i/>
          <w:iCs/>
        </w:rPr>
        <w:t xml:space="preserve">vyākhyāna</w:t>
      </w:r>
      <w:r>
        <w:t xml:space="preserve">,</w:t>
      </w:r>
      <w:r>
        <w:t xml:space="preserve"> </w:t>
      </w:r>
      <w:r>
        <w:rPr>
          <w:i/>
          <w:iCs/>
        </w:rPr>
        <w:t xml:space="preserve">lakṣaṇa</w:t>
      </w:r>
      <w:r>
        <w:t xml:space="preserve">, Махабхарата, Рамаяна, Артхашастра, Сундараканда.</w:t>
      </w:r>
    </w:p>
    <w:bookmarkEnd w:id="9"/>
    <w:bookmarkStart w:id="1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article discusses the organisation of commentarial apparatus in Russian translations of Sanskrit texts. The empirical basis is a corpus of 17,863 notes to major academic translations of the</w:t>
      </w:r>
      <w:r>
        <w:t xml:space="preserve"> </w:t>
      </w:r>
      <w:r>
        <w:rPr>
          <w:i/>
          <w:iCs/>
        </w:rPr>
        <w:t xml:space="preserve">Mahābhārata</w:t>
      </w:r>
      <w:r>
        <w:t xml:space="preserve">, the</w:t>
      </w:r>
      <w:r>
        <w:t xml:space="preserve"> </w:t>
      </w:r>
      <w:r>
        <w:rPr>
          <w:i/>
          <w:iCs/>
        </w:rPr>
        <w:t xml:space="preserve">Rāmāyaṇa</w:t>
      </w:r>
      <w:r>
        <w:t xml:space="preserve"> </w:t>
      </w:r>
      <w:r>
        <w:t xml:space="preserve">and the Upaniṣads (V. I. Kalyanov; Ya. V. Vassilkov and S. L. Neveleva; V. G. Erman; P. A. Grintser; A. Ya. Syrkin), aggregated in the</w:t>
      </w:r>
      <w:r>
        <w:t xml:space="preserve"> </w:t>
      </w:r>
      <w:r>
        <w:rPr>
          <w:i/>
          <w:iCs/>
        </w:rPr>
        <w:t xml:space="preserve">CommentaryStrategies</w:t>
      </w:r>
      <w:r>
        <w:t xml:space="preserve"> </w:t>
      </w:r>
      <w:r>
        <w:t xml:space="preserve">repository, supplemented by the ongoing Russian translation of the</w:t>
      </w:r>
      <w:r>
        <w:t xml:space="preserve"> </w:t>
      </w:r>
      <w:r>
        <w:rPr>
          <w:i/>
          <w:iCs/>
        </w:rPr>
        <w:t xml:space="preserve">Sundarakāṇḍa</w:t>
      </w:r>
      <w:r>
        <w:t xml:space="preserve"> </w:t>
      </w:r>
      <w:r>
        <w:t xml:space="preserve">by M. V. Leonov.</w:t>
      </w:r>
    </w:p>
    <w:p>
      <w:pPr>
        <w:pStyle w:val="BodyText"/>
      </w:pPr>
      <w:r>
        <w:t xml:space="preserve">Four parameters are proposed for describing a translator’s note. The first is thematic and reflects the eight rubrics of the working repository markup: Sanskrit term, myth or character, narrative context, cultural realia, geography or ethnonym, cross-reference, textology, philosophy or religion. The second correlates this material with the traditional typology of philological, realia, historical and cultural commentary, adapted by N. N. Kazansky for the Russian-Latin parallel corpus</w:t>
      </w:r>
      <w:r>
        <w:t xml:space="preserve"> </w:t>
      </w:r>
      <w:r>
        <w:rPr>
          <w:i/>
          <w:iCs/>
        </w:rPr>
        <w:t xml:space="preserve">Corpus Latino-Rossicum</w:t>
      </w:r>
      <w:r>
        <w:t xml:space="preserve">. The third describes the structural function of explanation through the traditional fivefold formula of</w:t>
      </w:r>
      <w:r>
        <w:t xml:space="preserve"> </w:t>
      </w:r>
      <w:r>
        <w:rPr>
          <w:i/>
          <w:iCs/>
        </w:rPr>
        <w:t xml:space="preserve">vyākhyāna</w:t>
      </w:r>
      <w:r>
        <w:t xml:space="preserve"> </w:t>
      </w:r>
      <w:r>
        <w:t xml:space="preserve">(</w:t>
      </w:r>
      <w:r>
        <w:rPr>
          <w:i/>
          <w:iCs/>
        </w:rPr>
        <w:t xml:space="preserve">padaccheda</w:t>
      </w:r>
      <w:r>
        <w:t xml:space="preserve">,</w:t>
      </w:r>
      <w:r>
        <w:t xml:space="preserve"> </w:t>
      </w:r>
      <w:r>
        <w:rPr>
          <w:i/>
          <w:iCs/>
        </w:rPr>
        <w:t xml:space="preserve">padārthokti</w:t>
      </w:r>
      <w:r>
        <w:t xml:space="preserve">,</w:t>
      </w:r>
      <w:r>
        <w:t xml:space="preserve"> </w:t>
      </w:r>
      <w:r>
        <w:rPr>
          <w:i/>
          <w:iCs/>
        </w:rPr>
        <w:t xml:space="preserve">vigraha</w:t>
      </w:r>
      <w:r>
        <w:t xml:space="preserve">,</w:t>
      </w:r>
      <w:r>
        <w:t xml:space="preserve"> </w:t>
      </w:r>
      <w:r>
        <w:rPr>
          <w:i/>
          <w:iCs/>
        </w:rPr>
        <w:t xml:space="preserve">vākyayojanā</w:t>
      </w:r>
      <w:r>
        <w:t xml:space="preserve">,</w:t>
      </w:r>
      <w:r>
        <w:t xml:space="preserve"> </w:t>
      </w:r>
      <w:r>
        <w:rPr>
          <w:i/>
          <w:iCs/>
        </w:rPr>
        <w:t xml:space="preserve">ākṣepasamādhāna</w:t>
      </w:r>
      <w:r>
        <w:t xml:space="preserve">). This formula is not treated here as a typology proposed by N. R. Lidova: it is attributed to a verse from the</w:t>
      </w:r>
      <w:r>
        <w:t xml:space="preserve"> </w:t>
      </w:r>
      <w:r>
        <w:rPr>
          <w:i/>
          <w:iCs/>
        </w:rPr>
        <w:t xml:space="preserve">Parāśarapurāṇa</w:t>
      </w:r>
      <w:r>
        <w:t xml:space="preserve"> </w:t>
      </w:r>
      <w:r>
        <w:t xml:space="preserve">cited in the</w:t>
      </w:r>
      <w:r>
        <w:t xml:space="preserve"> </w:t>
      </w:r>
      <w:r>
        <w:rPr>
          <w:i/>
          <w:iCs/>
        </w:rPr>
        <w:t xml:space="preserve">Nyāyakośa</w:t>
      </w:r>
      <w:r>
        <w:t xml:space="preserve"> </w:t>
      </w:r>
      <w:r>
        <w:t xml:space="preserve">of Bh. Jhalakīkar (3rd ed. 1928; 4th ed. 1978) and discussed in modern literature both by G. A. Tubb and E. R. Boose (2007: 3–5) and by N. R. Lidova (2024: 42–43). The fourth parameter follows A. V. Paribok’s distinction between notion, concept and codifier of direction of activity (Paribok 2011: 80–86).</w:t>
      </w:r>
    </w:p>
    <w:p>
      <w:pPr>
        <w:pStyle w:val="BodyText"/>
      </w:pPr>
      <w:r>
        <w:t xml:space="preserve">The proposed framework allows one to distinguish three broad strategies in the corpus: a brief philological-realia commentary (Kalyanov); an extended cultural-historical commentary in the form of footnote-</w:t>
      </w:r>
      <w:r>
        <w:rPr>
          <w:i/>
          <w:iCs/>
        </w:rPr>
        <w:t xml:space="preserve">bhāṣya</w:t>
      </w:r>
      <w:r>
        <w:t xml:space="preserve"> </w:t>
      </w:r>
      <w:r>
        <w:t xml:space="preserve">(Vassilkov and Neveleva, Erman, Grintser, Syrkin); and a multi-source comparative commentary in formation (Leonov). The case of</w:t>
      </w:r>
      <w:r>
        <w:t xml:space="preserve"> </w:t>
      </w:r>
      <w:r>
        <w:rPr>
          <w:i/>
          <w:iCs/>
        </w:rPr>
        <w:t xml:space="preserve">adhyakṣa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Arthaśāstra</w:t>
      </w:r>
      <w:r>
        <w:t xml:space="preserve">, as presented by D. N. Lelyukhin (2011), is discussed as an example of categorial mismatch, paralleling the well-known difficulty of rendering</w:t>
      </w:r>
      <w:r>
        <w:t xml:space="preserve"> </w:t>
      </w:r>
      <w:r>
        <w:rPr>
          <w:i/>
          <w:iCs/>
        </w:rPr>
        <w:t xml:space="preserve">dharma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karma</w:t>
      </w:r>
      <w:r>
        <w:t xml:space="preserve">. The article concludes with methodological observations and a brief checklist of practical implications for ongoing translation projects.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commentary, translation, Sanskrit, typology of commentary, parallel corpus,</w:t>
      </w:r>
      <w:r>
        <w:t xml:space="preserve"> </w:t>
      </w:r>
      <w:r>
        <w:rPr>
          <w:i/>
          <w:iCs/>
        </w:rPr>
        <w:t xml:space="preserve">bhāṣya</w:t>
      </w:r>
      <w:r>
        <w:t xml:space="preserve">,</w:t>
      </w:r>
      <w:r>
        <w:t xml:space="preserve"> </w:t>
      </w:r>
      <w:r>
        <w:rPr>
          <w:i/>
          <w:iCs/>
        </w:rPr>
        <w:t xml:space="preserve">vyākhyāna</w:t>
      </w:r>
      <w:r>
        <w:t xml:space="preserve">,</w:t>
      </w:r>
      <w:r>
        <w:t xml:space="preserve"> </w:t>
      </w:r>
      <w:r>
        <w:rPr>
          <w:i/>
          <w:iCs/>
        </w:rPr>
        <w:t xml:space="preserve">lakṣaṇa</w:t>
      </w:r>
      <w:r>
        <w:t xml:space="preserve">,</w:t>
      </w:r>
      <w:r>
        <w:t xml:space="preserve"> </w:t>
      </w:r>
      <w:r>
        <w:rPr>
          <w:i/>
          <w:iCs/>
        </w:rPr>
        <w:t xml:space="preserve">Mahābhārata</w:t>
      </w:r>
      <w:r>
        <w:t xml:space="preserve">,</w:t>
      </w:r>
      <w:r>
        <w:t xml:space="preserve"> </w:t>
      </w:r>
      <w:r>
        <w:rPr>
          <w:i/>
          <w:iCs/>
        </w:rPr>
        <w:t xml:space="preserve">Rāmāyaṇa</w:t>
      </w:r>
      <w:r>
        <w:t xml:space="preserve">,</w:t>
      </w:r>
      <w:r>
        <w:t xml:space="preserve"> </w:t>
      </w:r>
      <w:r>
        <w:rPr>
          <w:i/>
          <w:iCs/>
        </w:rPr>
        <w:t xml:space="preserve">Arthaśāstra</w:t>
      </w:r>
      <w:r>
        <w:t xml:space="preserve">,</w:t>
      </w:r>
      <w:r>
        <w:t xml:space="preserve"> </w:t>
      </w:r>
      <w:r>
        <w:rPr>
          <w:i/>
          <w:iCs/>
        </w:rPr>
        <w:t xml:space="preserve">Sundarakāṇḍa</w:t>
      </w:r>
      <w:r>
        <w:t xml:space="preserve">.</w:t>
      </w:r>
    </w:p>
    <w:bookmarkEnd w:id="10"/>
    <w:bookmarkStart w:id="11" w:name="сведения-об-авторе"/>
    <w:p>
      <w:pPr>
        <w:pStyle w:val="Heading2"/>
      </w:pPr>
      <w:r>
        <w:t xml:space="preserve">Сведения об авторе</w:t>
      </w:r>
    </w:p>
    <w:p>
      <w:pPr>
        <w:pStyle w:val="FirstParagraph"/>
      </w:pPr>
      <w:r>
        <w:t xml:space="preserve">Гасунс М., канд. филол. наук, основатель «Общества ревнителей санскрита». E-mail: gasyoun@gmail.com.</w:t>
      </w:r>
    </w:p>
    <w:p>
      <w:r>
        <w:pict>
          <v:rect style="width:0;height:1.5pt" o:hralign="center" o:hrstd="t" o:hr="t"/>
        </w:pict>
      </w:r>
    </w:p>
    <w:bookmarkEnd w:id="11"/>
    <w:bookmarkStart w:id="12" w:name="проблема-и-материал"/>
    <w:p>
      <w:pPr>
        <w:pStyle w:val="Heading2"/>
      </w:pPr>
      <w:r>
        <w:t xml:space="preserve">§1. Проблема и материал</w:t>
      </w:r>
    </w:p>
    <w:p>
      <w:pPr>
        <w:pStyle w:val="FirstParagraph"/>
      </w:pPr>
      <w:r>
        <w:t xml:space="preserve">Русские академические переводы санскритских текстов обычно описываются через качество самого перевода, полноту вступительной статьи или объём справочного аппарата. Между тем сами переводческие примечания образуют самостоятельный исследовательский материал. В них видно, что именно переводчик считает требующим объяснения, какой тип знания он предполагает у читателя и с какой комментаторской традицией он соотносит санскритский текст: индийской, европейской филологической или обеими одновременно.</w:t>
      </w:r>
    </w:p>
    <w:p>
      <w:pPr>
        <w:pStyle w:val="BodyText"/>
      </w:pPr>
      <w:r>
        <w:t xml:space="preserve">Исследовательский вопрос настоящей статьи состоит в следующем: можно ли описать русскую традицию перевода санскрита не только как историю отдельных переводчиков, но и как историю разных способов комментирования, и если да — какие параметры для этого продуктивны? Единицей анализа является отдельное примечание переводчика; в случаях, когда одно примечание совмещает несколько функций, ему может соответствовать несколько меток.</w:t>
      </w:r>
    </w:p>
    <w:p>
      <w:pPr>
        <w:pStyle w:val="BodyText"/>
      </w:pPr>
      <w:r>
        <w:t xml:space="preserve">Эмпирическая база — 17 863 примечания, агрегированные в репозитории</w:t>
      </w:r>
      <w:r>
        <w:t xml:space="preserve"> </w:t>
      </w:r>
      <w:r>
        <w:rPr>
          <w:i/>
          <w:iCs/>
        </w:rPr>
        <w:t xml:space="preserve">CommentaryStrategies</w:t>
      </w:r>
      <w:r>
        <w:t xml:space="preserve">. В корпус вошли: примечания В. И. Кальянова к книгам I, II, IV, V, VII, IX Махабхараты (Kalyanov 1950–1996; 7 424 примечания); Я. В. Василькова и С. Л. Невелевой к книгам III, VIII, X–XI, XIV–XVIII (Vassilkov, Neveleva 1987–2005; 5 574 примечания); В. Г. Эрмана к книге VI «Бхишмапарва» (Erman 2009; 758 примечаний); П. А. Гринцера к книгам I–III Рамаяны (Grintser 2006, 2014; 2 245 примечаний); А. Я. Сыркина к 20 упанишадам (Syrkin 1964–1992; 1 621 примечание). Отдельно привлекается продолжающийся перевод Сундараканды М. В. Леонова (литературный редактор Е. Костина), разрабатываемый как независимый электронный проект; этот материал рассматривается не как завершённое книжное издание, а как площадка, позволяющая наблюдать формирование переводческого аппарата в процессе работы. Дополнительный материал — работа Д. Н. Лелюхина об Артхашастре, позволяющая проверить рамку на материале историко-социологической лексики (Lelyukhin 2011).</w:t>
      </w:r>
    </w:p>
    <w:p>
      <w:pPr>
        <w:pStyle w:val="BodyText"/>
      </w:pPr>
      <w:r>
        <w:t xml:space="preserve">В теоретическом отношении статья опирается на три линии. Первая связана с работой Н. Н. Казанского о проблемах комментирования и сопоставления в русско-латинском параллельном корпусе (Kazansky 2025: 857–873). Вторая представлена работой Н. Р. Лидовой о комментарии в Древней Индии (Lidova 2024). Третья восходит к исследованиям А. В. Парибка о смысловом статусе санскритских терминов в шастрических текстах (Paribok 2007; 2011). Эти линии не совпадают по предмету: Казанский применяет классические типы комментария к разметке и сопоставлению в корпусной перспективе, Лидова рассматривает индийскую традицию изнутри её жанровых норм, Парибок анализирует категориальную природу санскритского термина. Их совмещение позволяет описать переводческое примечание как место встречи двух филологических режимов: индийского, в котором комментарий часто является условием понимания коренного текста, и европейского, в котором комментарий служит научным аппаратом издания.</w:t>
      </w:r>
    </w:p>
    <w:bookmarkEnd w:id="12"/>
    <w:bookmarkStart w:id="14" w:name="X26568d0224ffb4183d6351a220a303f0f70eff6"/>
    <w:p>
      <w:pPr>
        <w:pStyle w:val="Heading2"/>
      </w:pPr>
      <w:r>
        <w:t xml:space="preserve">§2. Параметры анализа переводческого комментария</w:t>
      </w:r>
    </w:p>
    <w:p>
      <w:pPr>
        <w:pStyle w:val="FirstParagraph"/>
      </w:pPr>
      <w:r>
        <w:t xml:space="preserve">Предлагаемая рамка включает четыре параметра. Они не образуют жёсткой классификации, в которой каждое примечание должно попасть ровно в одну ячейку, а описывают четыре аналитически различимых вопроса к одному и тому же материалу.</w:t>
      </w:r>
    </w:p>
    <w:p>
      <w:pPr>
        <w:pStyle w:val="BodyText"/>
      </w:pPr>
      <w:r>
        <w:rPr>
          <w:i/>
          <w:iCs/>
        </w:rPr>
        <w:t xml:space="preserve">Первый параметр</w:t>
      </w:r>
      <w:r>
        <w:t xml:space="preserve"> </w:t>
      </w:r>
      <w:r>
        <w:t xml:space="preserve">— тематический. В рабочей разметке репозитория используются восемь рубрик: санскритский термин или перевод; миф или персонаж; контекст или нарратив; культурная реалия; география или этноним; отсылка; текстология; философия или религия. Эта рубрикация наиболее близка к материалу и позволяет увидеть, какие зоны текста чаще всего требуют пояснения у разных переводчиков.</w:t>
      </w:r>
    </w:p>
    <w:p>
      <w:pPr>
        <w:pStyle w:val="BodyText"/>
      </w:pPr>
      <w:r>
        <w:rPr>
          <w:i/>
          <w:iCs/>
        </w:rPr>
        <w:t xml:space="preserve">Второй параметр</w:t>
      </w:r>
      <w:r>
        <w:t xml:space="preserve"> </w:t>
      </w:r>
      <w:r>
        <w:t xml:space="preserve">соотносит эмпирические рубрики с традиционной типологией филологического комментария, которую Н. Н. Казанский адаптирует для разметки русско-латинского параллельного корпуса. В рамках такого корпусного подхода выделяются филологический, реальный (поясняющий реалии), исторический и культурологический уровни комментирования</w:t>
      </w:r>
      <w:r>
        <w:rPr>
          <w:rStyle w:val="FootnoteReference"/>
        </w:rPr>
        <w:footnoteReference w:id="13"/>
      </w:r>
      <w:r>
        <w:t xml:space="preserve"> </w:t>
      </w:r>
      <w:r>
        <w:t xml:space="preserve">(Kazansky 2025: 858). Применительно к санскритскому материалу филологический комментарий включает этимологии, грамматические пояснения, метрику, поэтические фигуры и разночтения; реальный объясняет предметы, институты и социальные формы; исторический связывает текст с датировкой, редакциями, династиями и историческими условиями; культурологический описывает религиозные, философские, мифологические и рецептивные контексты. Этот уровень важен потому, что делает индологический корпус сопоставимым с материалом</w:t>
      </w:r>
      <w:r>
        <w:t xml:space="preserve"> </w:t>
      </w:r>
      <w:r>
        <w:rPr>
          <w:i/>
          <w:iCs/>
        </w:rPr>
        <w:t xml:space="preserve">Corpus Latino-Rossicum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Третий параметр</w:t>
      </w:r>
      <w:r>
        <w:t xml:space="preserve"> </w:t>
      </w:r>
      <w:r>
        <w:t xml:space="preserve">требует источниковедческой оговорки. Речь идёт не об авторской типологии Лидовой и не об оригинальной схеме Tubb и Boose, а о традиционной формуле пяти признаков объяснения, засвидетельствованной в</w:t>
      </w:r>
      <w:r>
        <w:t xml:space="preserve"> </w:t>
      </w:r>
      <w:r>
        <w:rPr>
          <w:i/>
          <w:iCs/>
        </w:rPr>
        <w:t xml:space="preserve">Nyāyakośa</w:t>
      </w:r>
      <w:r>
        <w:t xml:space="preserve"> </w:t>
      </w:r>
      <w:r>
        <w:t xml:space="preserve">со ссылкой на</w:t>
      </w:r>
      <w:r>
        <w:t xml:space="preserve"> </w:t>
      </w:r>
      <w:r>
        <w:rPr>
          <w:i/>
          <w:iCs/>
        </w:rPr>
        <w:t xml:space="preserve">Parāśarapurāṇa</w:t>
      </w:r>
      <w:r>
        <w:t xml:space="preserve"> </w:t>
      </w:r>
      <w:r>
        <w:t xml:space="preserve">и обсуждаемой в современной литературе. Tubb и Boose цитируют стих со ссылкой на</w:t>
      </w:r>
      <w:r>
        <w:t xml:space="preserve"> </w:t>
      </w:r>
      <w:r>
        <w:rPr>
          <w:i/>
          <w:iCs/>
        </w:rPr>
        <w:t xml:space="preserve">Nyāyakośa</w:t>
      </w:r>
      <w:r>
        <w:t xml:space="preserve"> </w:t>
      </w:r>
      <w:r>
        <w:t xml:space="preserve">и кладут его в основу своего «руководства для студентов»: «</w:t>
      </w:r>
      <w:r>
        <w:rPr>
          <w:i/>
          <w:iCs/>
        </w:rPr>
        <w:t xml:space="preserve">pada-cchedaḥ padārthoktir vigraho vākya-yojanā / ākṣepeṣu samādhānaṃ vyākhyānaṃ pañca-lakṣaṇam //</w:t>
      </w:r>
      <w:r>
        <w:t xml:space="preserve">» (Tubb, Boose 2005: 3–4). Лидова приводит ту же пятёрку как традиционную формулу, причём в её передаче пассаж назван цитатой из</w:t>
      </w:r>
      <w:r>
        <w:t xml:space="preserve"> </w:t>
      </w:r>
      <w:r>
        <w:rPr>
          <w:i/>
          <w:iCs/>
        </w:rPr>
        <w:t xml:space="preserve">Parāśara-upapurāṇa</w:t>
      </w:r>
      <w:r>
        <w:t xml:space="preserve">, средневекового шиваитского текста, датируемого, по её осторожной оценке, периодом около или после IX–X вв. н. э. (Lidova 2024: 42; ссылка на стих дана с указанием на</w:t>
      </w:r>
      <w:r>
        <w:t xml:space="preserve"> </w:t>
      </w:r>
      <w:r>
        <w:rPr>
          <w:i/>
          <w:iCs/>
        </w:rPr>
        <w:t xml:space="preserve">Nyāyakośa</w:t>
      </w:r>
      <w:r>
        <w:t xml:space="preserve"> </w:t>
      </w:r>
      <w:r>
        <w:t xml:space="preserve">1928). Корректная цепочка атрибуции, таким образом, такова: традиционная формула из</w:t>
      </w:r>
      <w:r>
        <w:t xml:space="preserve"> </w:t>
      </w:r>
      <w:r>
        <w:rPr>
          <w:i/>
          <w:iCs/>
        </w:rPr>
        <w:t xml:space="preserve">Parāśarapurāṇa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Parāśara-upapurāṇa</w:t>
      </w:r>
      <w:r>
        <w:t xml:space="preserve"> </w:t>
      </w:r>
      <w:r>
        <w:t xml:space="preserve">— её фиксация в</w:t>
      </w:r>
      <w:r>
        <w:t xml:space="preserve"> </w:t>
      </w:r>
      <w:r>
        <w:rPr>
          <w:i/>
          <w:iCs/>
        </w:rPr>
        <w:t xml:space="preserve">Nyāyakośa</w:t>
      </w:r>
      <w:r>
        <w:t xml:space="preserve"> </w:t>
      </w:r>
      <w:r>
        <w:t xml:space="preserve">(Jhalakikar 1928, 4-е изд. 1978) — её современное обсуждение у Tubb, Boose 2005: 3–5 и у Lidova 2024: 42. Содержательно формула включает:</w:t>
      </w:r>
      <w:r>
        <w:t xml:space="preserve"> </w:t>
      </w:r>
      <w:r>
        <w:rPr>
          <w:i/>
          <w:iCs/>
        </w:rPr>
        <w:t xml:space="preserve">padaccheda</w:t>
      </w:r>
      <w:r>
        <w:t xml:space="preserve"> </w:t>
      </w:r>
      <w:r>
        <w:t xml:space="preserve">— словоразделение и разрешение</w:t>
      </w:r>
      <w:r>
        <w:t xml:space="preserve"> </w:t>
      </w:r>
      <w:r>
        <w:rPr>
          <w:i/>
          <w:iCs/>
        </w:rPr>
        <w:t xml:space="preserve">sandhi</w:t>
      </w:r>
      <w:r>
        <w:t xml:space="preserve">;</w:t>
      </w:r>
      <w:r>
        <w:t xml:space="preserve"> </w:t>
      </w:r>
      <w:r>
        <w:rPr>
          <w:i/>
          <w:iCs/>
        </w:rPr>
        <w:t xml:space="preserve">padārthokti</w:t>
      </w:r>
      <w:r>
        <w:t xml:space="preserve"> </w:t>
      </w:r>
      <w:r>
        <w:t xml:space="preserve">— указание значения слов (даётся также в краткой форме</w:t>
      </w:r>
      <w:r>
        <w:t xml:space="preserve"> </w:t>
      </w:r>
      <w:r>
        <w:rPr>
          <w:i/>
          <w:iCs/>
        </w:rPr>
        <w:t xml:space="preserve">padārtha</w:t>
      </w:r>
      <w:r>
        <w:t xml:space="preserve">);</w:t>
      </w:r>
      <w:r>
        <w:t xml:space="preserve"> </w:t>
      </w:r>
      <w:r>
        <w:rPr>
          <w:i/>
          <w:iCs/>
        </w:rPr>
        <w:t xml:space="preserve">vigraha</w:t>
      </w:r>
      <w:r>
        <w:t xml:space="preserve"> </w:t>
      </w:r>
      <w:r>
        <w:t xml:space="preserve">— анализ сложных образований;</w:t>
      </w:r>
      <w:r>
        <w:t xml:space="preserve"> </w:t>
      </w:r>
      <w:r>
        <w:rPr>
          <w:i/>
          <w:iCs/>
        </w:rPr>
        <w:t xml:space="preserve">vākyayojanā</w:t>
      </w:r>
      <w:r>
        <w:t xml:space="preserve"> </w:t>
      </w:r>
      <w:r>
        <w:t xml:space="preserve">— установление синтаксической связи слов в предложении;</w:t>
      </w:r>
      <w:r>
        <w:t xml:space="preserve"> </w:t>
      </w:r>
      <w:r>
        <w:rPr>
          <w:i/>
          <w:iCs/>
        </w:rPr>
        <w:t xml:space="preserve">ākṣepasamādhāna</w:t>
      </w:r>
      <w:r>
        <w:t xml:space="preserve"> </w:t>
      </w:r>
      <w:r>
        <w:t xml:space="preserve">— постановку возможного возражения и ответ на него. Tubb и Boose замечают, что первые четыре признака составляют технический минимум, который должен решить любой читатель санскритского текста, тогда как пятый относится к дискуссионному уровню, развитому прежде всего в санскритской философской литературе и опирающемуся на стиль устных дебатов, а не устного обучения (Tubb, Boose 2005: 3–5). Лидова также подчёркивает, что первые четыре признака носят сугубо технический характер и связаны с особенностями санскритской письменности и грамматики, тогда как пятая,</w:t>
      </w:r>
      <w:r>
        <w:t xml:space="preserve"> </w:t>
      </w:r>
      <w:r>
        <w:rPr>
          <w:i/>
          <w:iCs/>
        </w:rPr>
        <w:t xml:space="preserve">ākṣepa-samādhāna</w:t>
      </w:r>
      <w:r>
        <w:t xml:space="preserve">, ориентирована на содержание и идеи комментируемого текста и обеспечивает «аналитический», а не «технический» подход к корневому тексту (Lidova 2024: 42–43). Для переводческого комментария эта пятёрка полезна не как готовая норма, а как способ различать технические и дискуссионные функции примечания.</w:t>
      </w:r>
    </w:p>
    <w:p>
      <w:pPr>
        <w:pStyle w:val="BodyText"/>
      </w:pPr>
      <w:r>
        <w:rPr>
          <w:i/>
          <w:iCs/>
        </w:rPr>
        <w:t xml:space="preserve">Четвёртый параметр</w:t>
      </w:r>
      <w:r>
        <w:t xml:space="preserve"> </w:t>
      </w:r>
      <w:r>
        <w:t xml:space="preserve">связан с исследованиями Парибка. В его описании санскритский термин не всегда является понятием в европейском смысле и не всегда совпадает с тем, что в гуманитарной семиотике принято называть концептом. Часть шастрической лексики функционирует как кодификатор направления деятельности — знак, включённый в практику изменения субъекта, а не только в систему обозначения (Paribok 2011: 80–86). Поэтому перевод</w:t>
      </w:r>
      <w:r>
        <w:t xml:space="preserve"> </w:t>
      </w:r>
      <w:r>
        <w:rPr>
          <w:i/>
          <w:iCs/>
        </w:rPr>
        <w:t xml:space="preserve">dharma</w:t>
      </w:r>
      <w:r>
        <w:t xml:space="preserve"> </w:t>
      </w:r>
      <w:r>
        <w:t xml:space="preserve">как «закон» или</w:t>
      </w:r>
      <w:r>
        <w:t xml:space="preserve"> </w:t>
      </w:r>
      <w:r>
        <w:rPr>
          <w:i/>
          <w:iCs/>
        </w:rPr>
        <w:t xml:space="preserve">karma</w:t>
      </w:r>
      <w:r>
        <w:t xml:space="preserve"> </w:t>
      </w:r>
      <w:r>
        <w:t xml:space="preserve">как «судьба» может быть проблематичен не только семантически, но и категориально: переводчик ищет слово-понятие там, где исходный текст работает с иной формой смыслового содержания. Из этого не следует, что санскритский термин всегда должен сохраняться без перевода. Более осторожная формулировка такова: в случаях категориального несовпадения перевод должен сопровождаться комментарием, показывающим, какой именно тип смысловой единицы стоит за русским эквивалентом.</w:t>
      </w:r>
    </w:p>
    <w:p>
      <w:pPr>
        <w:pStyle w:val="BodyText"/>
      </w:pPr>
      <w:r>
        <w:t xml:space="preserve">Четырёхпараметрическое описание удобно показать на простых примерах. Географическое пояснение Кальянова к названию реки Икшумати относится к рубрике географии, к реальному типу в корпусной номенклатуре Казанского, к функции</w:t>
      </w:r>
      <w:r>
        <w:t xml:space="preserve"> </w:t>
      </w:r>
      <w:r>
        <w:rPr>
          <w:i/>
          <w:iCs/>
        </w:rPr>
        <w:t xml:space="preserve">padārthokti</w:t>
      </w:r>
      <w:r>
        <w:t xml:space="preserve"> </w:t>
      </w:r>
      <w:r>
        <w:t xml:space="preserve">и к уровню обычной номинации. Комментарий Эрмана к «искушённым в чтении Вед» из Бхишмапарвы объединяет культурологический тип с дискуссионной функцией, так как привлекает индийского комментатора Девабодху и расширяет смысл слова</w:t>
      </w:r>
      <w:r>
        <w:t xml:space="preserve"> </w:t>
      </w:r>
      <w:r>
        <w:rPr>
          <w:i/>
          <w:iCs/>
        </w:rPr>
        <w:t xml:space="preserve">adhyāyana</w:t>
      </w:r>
      <w:r>
        <w:t xml:space="preserve"> </w:t>
      </w:r>
      <w:r>
        <w:t xml:space="preserve">через традиционный контекст. Различие этих случаев не сводится к длине сноски: меняется сама структура объяснения.</w:t>
      </w:r>
    </w:p>
    <w:p>
      <w:pPr>
        <w:pStyle w:val="BodyText"/>
      </w:pPr>
      <w:r>
        <w:t xml:space="preserve">Центральный тезис, выводимый из совмещения трёх теоретических линий, можно сформулировать так. Русский переводчик санскритского текста наследует две комментаторские традиции одновременно: индийскую, в которой комментарий нередко является условием читаемости коренного текста, и европейскую филологическую, в которой комментарий — вспомогательный аппарат к корпусу. Его примечание к каждой шлоке оказывается местом встречи этих двух режимов: оно реализует или замещает функции</w:t>
      </w:r>
      <w:r>
        <w:t xml:space="preserve"> </w:t>
      </w:r>
      <w:r>
        <w:rPr>
          <w:i/>
          <w:iCs/>
        </w:rPr>
        <w:t xml:space="preserve">bhāṣya</w:t>
      </w:r>
      <w:r>
        <w:t xml:space="preserve">,</w:t>
      </w:r>
      <w:r>
        <w:t xml:space="preserve"> </w:t>
      </w:r>
      <w:r>
        <w:rPr>
          <w:i/>
          <w:iCs/>
        </w:rPr>
        <w:t xml:space="preserve">vārttika</w:t>
      </w:r>
      <w:r>
        <w:t xml:space="preserve">,</w:t>
      </w:r>
      <w:r>
        <w:t xml:space="preserve"> </w:t>
      </w:r>
      <w:r>
        <w:rPr>
          <w:i/>
          <w:iCs/>
        </w:rPr>
        <w:t xml:space="preserve">ṭīkā</w:t>
      </w:r>
      <w:r>
        <w:t xml:space="preserve">, но в формальных рамках и языке европейского научного издания. Различие стратегий русских санскритологов — это разные конфигурации этого гибридного жанра.</w:t>
      </w:r>
    </w:p>
    <w:bookmarkEnd w:id="14"/>
    <w:bookmarkStart w:id="15" w:name="основные-типы-переводческого-комментария"/>
    <w:p>
      <w:pPr>
        <w:pStyle w:val="Heading2"/>
      </w:pPr>
      <w:r>
        <w:t xml:space="preserve">§3. Основные типы переводческого комментария</w:t>
      </w:r>
    </w:p>
    <w:p>
      <w:pPr>
        <w:pStyle w:val="FirstParagraph"/>
      </w:pPr>
      <w:r>
        <w:t xml:space="preserve">В рассматриваемом корпусе можно выделить несколько устойчивых способов организации комментария. Эти типы не являются школами в строгом институциональном смысле; они обозначают преобладающие режимы работы с текстом.</w:t>
      </w:r>
    </w:p>
    <w:p>
      <w:pPr>
        <w:pStyle w:val="BodyText"/>
      </w:pPr>
      <w:r>
        <w:rPr>
          <w:i/>
          <w:iCs/>
        </w:rPr>
        <w:t xml:space="preserve">Краткий филолого-реальный комментарий.</w:t>
      </w:r>
      <w:r>
        <w:t xml:space="preserve"> </w:t>
      </w:r>
      <w:r>
        <w:t xml:space="preserve">В наиболее ясном виде он представлен у В. И. Кальянова. Значительную часть его аппарата составляют глоссы к санскритским словам, топонимам, реалиям и персонажам. Примечание обычно даёт русское пояснение, иногда сопровождаемое IAST-формой, и не стремится развернуть спор интерпретаций. В терминах пяти функций объяснения здесь преобладает</w:t>
      </w:r>
      <w:r>
        <w:t xml:space="preserve"> </w:t>
      </w:r>
      <w:r>
        <w:rPr>
          <w:i/>
          <w:iCs/>
        </w:rPr>
        <w:t xml:space="preserve">padārthokti</w:t>
      </w:r>
      <w:r>
        <w:t xml:space="preserve">; функции</w:t>
      </w:r>
      <w:r>
        <w:t xml:space="preserve"> </w:t>
      </w:r>
      <w:r>
        <w:rPr>
          <w:i/>
          <w:iCs/>
        </w:rPr>
        <w:t xml:space="preserve">vigraha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vākyayojanā</w:t>
      </w:r>
      <w:r>
        <w:t xml:space="preserve"> </w:t>
      </w:r>
      <w:r>
        <w:t xml:space="preserve">чаще всего остаются скрытыми, а дискуссионный уровень появляется редко. Содержательно у Кальянова доминируют реальный и культурологический типы комментария в корпусной номенклатуре Казанского; диалог с индийской комментаторской вертикалью почти отсутствует — даже Нилакантха цитируется единично.</w:t>
      </w:r>
    </w:p>
    <w:p>
      <w:pPr>
        <w:pStyle w:val="BodyText"/>
      </w:pPr>
      <w:r>
        <w:rPr>
          <w:i/>
          <w:iCs/>
        </w:rPr>
        <w:t xml:space="preserve">Развёрнутый культурно-исторический комментарий в форме сноски-bhāṣya.</w:t>
      </w:r>
      <w:r>
        <w:t xml:space="preserve"> </w:t>
      </w:r>
      <w:r>
        <w:t xml:space="preserve">К нему относятся, с различиями между отдельными авторами, Васильков и Невелева, Эрман, Гринцер и Сыркин. У Василькова и Невелевой сильнее выражены мифологический и нарративный контекст; средняя длина сноски в их корпусе — 260 знаков, в отдельных книгах (Стри-парва) она доходит до 331. У Эрмана заметнее обращение к Девабодхе и Нилакантхе: индийские комментаторы цитируются примерно в 2 % примечаний — наиболее выраженный случай систематического присутствия, — и около трети сносок несут перекрёстные отсылки. У Гринцера важную роль играет сопоставление с западной индологией, прежде всего с принстонским изданием Рамаяны (Goldman 1984–2017) и аналитической работой по индийской поэтике (Grintser 2006, 2014); Сыркин даёт самые длинные в корпусе сноски (316 знаков в среднем) и наиболее высокий процент IAST (64 %). Общей чертой этого кластера является расширение примечания от глоссы к микроочерку: переводчик объясняет не только слово, но и его место в традиции, сюжете или доктрине. В терминах пяти признаков преобладает</w:t>
      </w:r>
      <w:r>
        <w:t xml:space="preserve"> </w:t>
      </w:r>
      <w:r>
        <w:rPr>
          <w:i/>
          <w:iCs/>
        </w:rPr>
        <w:t xml:space="preserve">ākṣepasamādhāna</w:t>
      </w:r>
      <w:r>
        <w:t xml:space="preserve">, активны параллели и западная индология, тогда как</w:t>
      </w:r>
      <w:r>
        <w:t xml:space="preserve"> </w:t>
      </w:r>
      <w:r>
        <w:rPr>
          <w:i/>
          <w:iCs/>
        </w:rPr>
        <w:t xml:space="preserve">padaccheda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vigraha</w:t>
      </w:r>
      <w:r>
        <w:t xml:space="preserve"> </w:t>
      </w:r>
      <w:r>
        <w:t xml:space="preserve">остаются в неявной компетенции переводчика.</w:t>
      </w:r>
    </w:p>
    <w:p>
      <w:pPr>
        <w:pStyle w:val="BodyText"/>
      </w:pPr>
      <w:r>
        <w:rPr>
          <w:i/>
          <w:iCs/>
        </w:rPr>
        <w:t xml:space="preserve">Многоисточниковый сопоставительный комментарий.</w:t>
      </w:r>
      <w:r>
        <w:t xml:space="preserve"> </w:t>
      </w:r>
      <w:r>
        <w:t xml:space="preserve">Этот тип наблюдается в продолжающемся проекте М. В. Леонова. Его отличает стремление поставить рядом русский перевод, индийскую комментаторскую традицию и современные западные издания Рамаяны. Атрибутивная и текстологическая работа продолжается, но в существующих фрагментах перевода уже видна последовательная работа сразу с пятью традиционными комментариями к Рамаяне (Тилака, Бхушана, Широмани, Таттвадипика, Амрита) и с двумя западными изданиями — принстонским (Goldman 1984–2017) и Clay Sanskrit Library (Goldman, Sutherland Goldman 2006). В этом типе особенно важны функции</w:t>
      </w:r>
      <w:r>
        <w:t xml:space="preserve"> </w:t>
      </w:r>
      <w:r>
        <w:rPr>
          <w:i/>
          <w:iCs/>
        </w:rPr>
        <w:t xml:space="preserve">vigraha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ākṣepasamādhāna</w:t>
      </w:r>
      <w:r>
        <w:t xml:space="preserve">: сложное слово разбирается, а затем его интерпретация проверяется через несколько источников. Так, эпитет</w:t>
      </w:r>
      <w:r>
        <w:t xml:space="preserve"> </w:t>
      </w:r>
      <w:r>
        <w:rPr>
          <w:i/>
          <w:iCs/>
        </w:rPr>
        <w:t xml:space="preserve">kāmarūpa</w:t>
      </w:r>
      <w:r>
        <w:t xml:space="preserve"> </w:t>
      </w:r>
      <w:r>
        <w:t xml:space="preserve">в Сундараканде I.1.5 у Леонова раскладывается как</w:t>
      </w:r>
      <w:r>
        <w:t xml:space="preserve"> </w:t>
      </w:r>
      <w:r>
        <w:rPr>
          <w:i/>
          <w:iCs/>
        </w:rPr>
        <w:t xml:space="preserve">kāma-rūpa</w:t>
      </w:r>
      <w:r>
        <w:t xml:space="preserve"> </w:t>
      </w:r>
      <w:r>
        <w:t xml:space="preserve">«облик согласно желанию» с глоссой по «Широмани» и параллельным переводом «able to change his form at will» из Goldman, Sutherland Goldman 2006; эпитет</w:t>
      </w:r>
      <w:r>
        <w:t xml:space="preserve"> </w:t>
      </w:r>
      <w:r>
        <w:rPr>
          <w:i/>
          <w:iCs/>
        </w:rPr>
        <w:t xml:space="preserve">śatrukarśanaḥ</w:t>
      </w:r>
      <w:r>
        <w:t xml:space="preserve"> </w:t>
      </w:r>
      <w:r>
        <w:t xml:space="preserve">в I.1.1 получает разбор через корень</w:t>
      </w:r>
      <w:r>
        <w:t xml:space="preserve"> </w:t>
      </w:r>
      <w:r>
        <w:rPr>
          <w:i/>
          <w:iCs/>
        </w:rPr>
        <w:t xml:space="preserve">karś-</w:t>
      </w:r>
      <w:r>
        <w:t xml:space="preserve"> </w:t>
      </w:r>
      <w:r>
        <w:t xml:space="preserve">«истощать» по «Бхушане» и сопоставление с «crusher of foes» Голдманов. По имеющимся материалам в этом сегменте корпуса активированы все пять функций</w:t>
      </w:r>
      <w:r>
        <w:t xml:space="preserve"> </w:t>
      </w:r>
      <w:r>
        <w:rPr>
          <w:i/>
          <w:iCs/>
        </w:rPr>
        <w:t xml:space="preserve">vyākhyāna</w:t>
      </w:r>
      <w:r>
        <w:t xml:space="preserve">, тогда как в более ранних русских переводах Рамаяны функции</w:t>
      </w:r>
      <w:r>
        <w:t xml:space="preserve"> </w:t>
      </w:r>
      <w:r>
        <w:rPr>
          <w:i/>
          <w:iCs/>
        </w:rPr>
        <w:t xml:space="preserve">padaccheda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vigraha</w:t>
      </w:r>
      <w:r>
        <w:t xml:space="preserve"> </w:t>
      </w:r>
      <w:r>
        <w:t xml:space="preserve">как самостоятельный слой не выделялись.</w:t>
      </w:r>
    </w:p>
    <w:p>
      <w:pPr>
        <w:pStyle w:val="BodyText"/>
      </w:pPr>
      <w:r>
        <w:t xml:space="preserve">Эта картина не означает, что более поздние практики безусловно лучше ранних. Краткая глосса, развёрнутый микроочерк и сопоставление комментариев отвечают разным задачам и адресованы разным читательским ситуациям. Научный вопрос состоит не в ранжировании переводчиков, а в том, какие функции комментария активированы в каждом аппарате и какие остаются неразвёрнутыми. По четвёртому параметру — категориальной природе термина — ни один из переводчиков основного корпуса не активирует разметку эксплицитно: Кальянов и Гринцер обращаются с</w:t>
      </w:r>
      <w:r>
        <w:t xml:space="preserve"> </w:t>
      </w:r>
      <w:r>
        <w:rPr>
          <w:i/>
          <w:iCs/>
        </w:rPr>
        <w:t xml:space="preserve">dharma</w:t>
      </w:r>
      <w:r>
        <w:t xml:space="preserve">,</w:t>
      </w:r>
      <w:r>
        <w:t xml:space="preserve"> </w:t>
      </w:r>
      <w:r>
        <w:rPr>
          <w:i/>
          <w:iCs/>
        </w:rPr>
        <w:t xml:space="preserve">ātman</w:t>
      </w:r>
      <w:r>
        <w:t xml:space="preserve">,</w:t>
      </w:r>
      <w:r>
        <w:t xml:space="preserve"> </w:t>
      </w:r>
      <w:r>
        <w:rPr>
          <w:i/>
          <w:iCs/>
        </w:rPr>
        <w:t xml:space="preserve">brahman</w:t>
      </w:r>
      <w:r>
        <w:t xml:space="preserve"> </w:t>
      </w:r>
      <w:r>
        <w:t xml:space="preserve">как с понятиями, дают европейские эквиваленты и отсылки к традиции; Эрман и Сыркин в крупных случаях признают рыхлость семантики (концептный режим в смысле Парибка); как с кодификаторами в строгом смысле с этими терминами в имеющемся материале не работает никто. Это обстоятельство объясняет, почему индийская комментаторская вертикаль так упорно оставалась за пределами русского аппарата: её природа категориально отличается от того, с чем русский академический комментарий привык работать.</w:t>
      </w:r>
    </w:p>
    <w:bookmarkEnd w:id="15"/>
    <w:bookmarkStart w:id="16" w:name="X4a173bab865209fa561e9c7e4bbd198174d52a8"/>
    <w:p>
      <w:pPr>
        <w:pStyle w:val="Heading2"/>
      </w:pPr>
      <w:r>
        <w:t xml:space="preserve">§4. К вопросу о термине</w:t>
      </w:r>
      <w:r>
        <w:t xml:space="preserve"> </w:t>
      </w:r>
      <w:r>
        <w:rPr>
          <w:i/>
          <w:iCs/>
        </w:rPr>
        <w:t xml:space="preserve">adhyakṣa</w:t>
      </w:r>
      <w:r>
        <w:t xml:space="preserve"> </w:t>
      </w:r>
      <w:r>
        <w:t xml:space="preserve">в Артхашастре</w:t>
      </w:r>
    </w:p>
    <w:p>
      <w:pPr>
        <w:pStyle w:val="FirstParagraph"/>
      </w:pPr>
      <w:r>
        <w:t xml:space="preserve">Материал Артхашастры позволяет проверить предложенную рамку вне религиозно-философской лексики. В работе о специальной санскритской терминологии Лелюхин показывает, что перевод</w:t>
      </w:r>
      <w:r>
        <w:t xml:space="preserve"> </w:t>
      </w:r>
      <w:r>
        <w:rPr>
          <w:i/>
          <w:iCs/>
        </w:rPr>
        <w:t xml:space="preserve">adhyakṣa</w:t>
      </w:r>
      <w:r>
        <w:t xml:space="preserve"> </w:t>
      </w:r>
      <w:r>
        <w:t xml:space="preserve">как «надзиратель», «чиновник» или «руководитель ведомства» не является нейтральным выбором: такой перевод легко переносит на текст Каутильи новоевропейскую модель государственного аппарата с ведомствами, штатными должностями и бюрократической вертикалью (Lelyukhin 2011: 55–64). Лелюхин показывает, что значительная часть последующей реконструкции «древнеиндийского государства маурийской эпохи» — паспортной системы, разделения ведомств, штатного чиновничества — оказывается в существенной мере артефактом этого переводческого выбора, а не прямым свидетельством текста.</w:t>
      </w:r>
    </w:p>
    <w:p>
      <w:pPr>
        <w:pStyle w:val="BodyText"/>
      </w:pPr>
      <w:r>
        <w:t xml:space="preserve">Здесь полезно развести два уровня аргумента. Лелюхин формулирует переводческую и историографическую проблему: привычный эквивалент влияет на реконструкцию древнеиндийских институтов. Настоящая статья предлагает дополнительное описание этой проблемы через модель Парибка. Если</w:t>
      </w:r>
      <w:r>
        <w:t xml:space="preserve"> </w:t>
      </w:r>
      <w:r>
        <w:rPr>
          <w:i/>
          <w:iCs/>
        </w:rPr>
        <w:t xml:space="preserve">adhyakṣa</w:t>
      </w:r>
      <w:r>
        <w:t xml:space="preserve"> </w:t>
      </w:r>
      <w:r>
        <w:t xml:space="preserve">обозначает не устойчивую должность, а направление надзорной или распорядительной деятельности, то его русская передача через слово «чиновник» меняет не только оттенок значения, но и категориальный тип обозначаемой единицы. Источник начинает выглядеть так, будто он описывает понятие европейской административной истории, тогда как перед нами может быть иной способ кодификации действия.</w:t>
      </w:r>
    </w:p>
    <w:p>
      <w:pPr>
        <w:pStyle w:val="BodyText"/>
      </w:pPr>
      <w:r>
        <w:t xml:space="preserve">Такое сопоставление не доказывает, что</w:t>
      </w:r>
      <w:r>
        <w:t xml:space="preserve"> </w:t>
      </w:r>
      <w:r>
        <w:rPr>
          <w:i/>
          <w:iCs/>
        </w:rPr>
        <w:t xml:space="preserve">adhyakṣa</w:t>
      </w:r>
      <w:r>
        <w:t xml:space="preserve"> </w:t>
      </w:r>
      <w:r>
        <w:t xml:space="preserve">всегда следует оставлять без перевода. Оно показывает, что историко-социологическая терминология нуждается в той же категориальной проверке, что и</w:t>
      </w:r>
      <w:r>
        <w:t xml:space="preserve"> </w:t>
      </w:r>
      <w:r>
        <w:rPr>
          <w:i/>
          <w:iCs/>
        </w:rPr>
        <w:t xml:space="preserve">dharma</w:t>
      </w:r>
      <w:r>
        <w:t xml:space="preserve">,</w:t>
      </w:r>
      <w:r>
        <w:t xml:space="preserve"> </w:t>
      </w:r>
      <w:r>
        <w:rPr>
          <w:i/>
          <w:iCs/>
        </w:rPr>
        <w:t xml:space="preserve">karma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yoga</w:t>
      </w:r>
      <w:r>
        <w:t xml:space="preserve">. Переводчик должен спросить, что именно он вводит в русский текст: термин для института, функцию, практику, предписание или тип деятельности. Без этого вопроса комментарий может не исправить ошибку перевода, а закрепить её. Кейс важен потому, что показывает: параметр «ложных друзей» (в терминологии, используемой Казанским для корпусного комментирования) работает на индологическом материале не только в религиозно-философской сфере, но и в историко-социологической — и в обеих сферах механизм один и тот же, категориальная подмена.</w:t>
      </w:r>
    </w:p>
    <w:bookmarkEnd w:id="16"/>
    <w:bookmarkStart w:id="17" w:name="X04a575abe7edafd5ac86f89051390fe575d636e"/>
    <w:p>
      <w:pPr>
        <w:pStyle w:val="Heading2"/>
      </w:pPr>
      <w:r>
        <w:t xml:space="preserve">§5. Параллельный корпус как среда комментирования</w:t>
      </w:r>
    </w:p>
    <w:p>
      <w:pPr>
        <w:pStyle w:val="FirstParagraph"/>
      </w:pPr>
      <w:r>
        <w:t xml:space="preserve">Параллельные корпуса важны для дальнейшего развития такого анализа, однако техническое описание корпуса не должно подменять филологическую статью. Для настоящей работы достаточно отметить следующее.</w:t>
      </w:r>
      <w:r>
        <w:t xml:space="preserve"> </w:t>
      </w:r>
      <w:r>
        <w:rPr>
          <w:i/>
          <w:iCs/>
        </w:rPr>
        <w:t xml:space="preserve">Corpus Latino-Rossicum</w:t>
      </w:r>
      <w:r>
        <w:t xml:space="preserve"> </w:t>
      </w:r>
      <w:r>
        <w:t xml:space="preserve">(Kazansky 2025), реализованный в ИЛИ РАН как трёхчастная среда «Поиск — Библиотека — О проекте», задаёт образец сопоставления оригинала, перевода и комментария: каждый сегмент имеет стабильный машиночитаемый адрес с канонической ссылкой, а двенадцать морфологических фильтров латинского языка позволяют отбирать сегменты по морфологическим параметрам. В одном произведении Плиния Младшего таких сегментов 2 372. Среда</w:t>
      </w:r>
      <w:r>
        <w:t xml:space="preserve"> </w:t>
      </w:r>
      <w:r>
        <w:rPr>
          <w:i/>
          <w:iCs/>
        </w:rPr>
        <w:t xml:space="preserve">samskrtam.ru</w:t>
      </w:r>
      <w:r>
        <w:t xml:space="preserve"> </w:t>
      </w:r>
      <w:r>
        <w:t xml:space="preserve">уже имеет внутреннюю разметку, в которой каждой шлоке и каждому комментарию соответствует стабильный идентификатор с осмысленным каноническим адресом; формализованной TEI-схемы, морфологического разбора санскрита и общей платформы для нескольких русских переводов одной шлоки на сегодня нет. Электронная среда делает видимым то, что в бумажной сноске часто свёрнуто, и в перспективе позволяет связать бумажную статью, электронный текст и типизированный комментарий. Более детальная схема разметки относится скорее к проектной документации или отдельной публикации по digital humanities, а в журнальной статье представлена как перспектива.</w:t>
      </w:r>
    </w:p>
    <w:bookmarkEnd w:id="17"/>
    <w:bookmarkStart w:id="18" w:name="выводы"/>
    <w:p>
      <w:pPr>
        <w:pStyle w:val="Heading2"/>
      </w:pPr>
      <w:r>
        <w:t xml:space="preserve">§6. Выводы</w:t>
      </w:r>
    </w:p>
    <w:p>
      <w:pPr>
        <w:pStyle w:val="FirstParagraph"/>
      </w:pPr>
      <w:r>
        <w:t xml:space="preserve">Рассмотренный материал показывает, что русский перевод санскритского текста наследует два разных представления о комментарии. В индийской традиции комментарий часто выступает условием функционирования коренного текста; в европейской филологической традиции он оформляется как вспомогательный аппарат издания. Русский переводчик работает на пересечении этих режимов, и именно поэтому его примечания нельзя описывать только по объёму или справочной полноте.</w:t>
      </w:r>
    </w:p>
    <w:p>
      <w:pPr>
        <w:pStyle w:val="BodyText"/>
      </w:pPr>
      <w:r>
        <w:t xml:space="preserve">Предложенные четыре параметра позволяют различать функции, которые в обычном чтении сливаются. Тематическая рубрика показывает, какая зона текста вызывает пояснение. Опора на стандартные виды комментария (филологический, реальный, исторический, культурологический), выделяемые Н. Н. Казанским для корпусной работы, показывает, к какому типу относится примечание. Формула пяти признаков</w:t>
      </w:r>
      <w:r>
        <w:t xml:space="preserve"> </w:t>
      </w:r>
      <w:r>
        <w:rPr>
          <w:i/>
          <w:iCs/>
        </w:rPr>
        <w:t xml:space="preserve">vyākhyāna</w:t>
      </w:r>
      <w:r>
        <w:t xml:space="preserve">, восходящая к стиху из</w:t>
      </w:r>
      <w:r>
        <w:t xml:space="preserve"> </w:t>
      </w:r>
      <w:r>
        <w:rPr>
          <w:i/>
          <w:iCs/>
        </w:rPr>
        <w:t xml:space="preserve">Parāśarapurāṇa</w:t>
      </w:r>
      <w:r>
        <w:t xml:space="preserve">, цитируемому в</w:t>
      </w:r>
      <w:r>
        <w:t xml:space="preserve"> </w:t>
      </w:r>
      <w:r>
        <w:rPr>
          <w:i/>
          <w:iCs/>
        </w:rPr>
        <w:t xml:space="preserve">Nyāyakośa</w:t>
      </w:r>
      <w:r>
        <w:t xml:space="preserve">, и обсуждаемая в современной литературе у Tubb, Boose 2005: 3–5 и у Lidova 2024: 42–43, помогает отличить словоразделение, глоссу, анализ сложного слова, синтаксическое истолкование и дискуссионное объяснение. Модель Парибка напоминает, что проблема перевода санскритского термина может быть категориальной, а не только лексической.</w:t>
      </w:r>
    </w:p>
    <w:p>
      <w:pPr>
        <w:pStyle w:val="BodyText"/>
      </w:pPr>
      <w:r>
        <w:t xml:space="preserve">В применении к корпусу эта рамка показывает не линейный прогресс, а набор разных стратегий. Кальянов даёт краткий филолого-реальный комментарий; Васильков, Невелева, Эрман, Гринцер и Сыркин развивают культурно-исторический аппарат в форме сноски-</w:t>
      </w:r>
      <w:r>
        <w:rPr>
          <w:i/>
          <w:iCs/>
        </w:rPr>
        <w:t xml:space="preserve">bhāṣya</w:t>
      </w:r>
      <w:r>
        <w:t xml:space="preserve">; Леоновский проект движется к многоисточниковому сопоставлению. Каждая из этих стратегий имеет собственную научную ценность, но каждая оставляет некоторые функции комментария менее проявленными. Источниковедчески важно не превращать современное изложение традиционной формулы в её источник: схема пяти</w:t>
      </w:r>
      <w:r>
        <w:t xml:space="preserve"> </w:t>
      </w:r>
      <w:r>
        <w:rPr>
          <w:i/>
          <w:iCs/>
        </w:rPr>
        <w:t xml:space="preserve">lakṣaṇa</w:t>
      </w:r>
      <w:r>
        <w:t xml:space="preserve"> </w:t>
      </w:r>
      <w:r>
        <w:t xml:space="preserve">принадлежит традиции, обсуждается в современной литературе, но не является авторской типологией ни Tubb–Boose, ни Лидовой.</w:t>
      </w:r>
    </w:p>
    <w:p>
      <w:pPr>
        <w:pStyle w:val="BodyText"/>
      </w:pPr>
      <w:r>
        <w:t xml:space="preserve">Дальнейшая работа может идти в двух направлениях. Первое — источниковедческая верификация: точное место цитирования Казанского по страницам, проверка традиционных комментариев к Рамаяне по изданиям и сканам, аккуратное описание продолжающегося перевода Леонова как электронного ресурса, уточнение страниц у Лидовой, где приведена формула из</w:t>
      </w:r>
      <w:r>
        <w:t xml:space="preserve"> </w:t>
      </w:r>
      <w:r>
        <w:rPr>
          <w:i/>
          <w:iCs/>
        </w:rPr>
        <w:t xml:space="preserve">Parāśara-upapurāṇa</w:t>
      </w:r>
      <w:r>
        <w:t xml:space="preserve">. Второе — корпусная разметка: если примечания будут описываться по четырём параметрам уже на этапе подготовки перевода, сопоставление русской санскритологической традиции станет не ретроспективной реконструкцией, а рабочим инструментом филологического анализа. В качестве краткого практического приложения такого описания приводится чек-лист в Приложении.</w:t>
      </w:r>
    </w:p>
    <w:bookmarkEnd w:id="18"/>
    <w:bookmarkStart w:id="19" w:name="литература"/>
    <w:p>
      <w:pPr>
        <w:pStyle w:val="Heading2"/>
      </w:pPr>
      <w:r>
        <w:t xml:space="preserve">Литература</w:t>
      </w:r>
    </w:p>
    <w:p>
      <w:pPr>
        <w:pStyle w:val="FirstParagraph"/>
      </w:pPr>
      <w:r>
        <w:t xml:space="preserve">Elizarenkova, T. Ya. 1989, 1995, 1999:</w:t>
      </w:r>
      <w:r>
        <w:t xml:space="preserve"> </w:t>
      </w:r>
      <w:r>
        <w:rPr>
          <w:i/>
          <w:iCs/>
        </w:rPr>
        <w:t xml:space="preserve">Rigveda</w:t>
      </w:r>
      <w:r>
        <w:t xml:space="preserve"> </w:t>
      </w:r>
      <w:r>
        <w:t xml:space="preserve">[Ṛgveda] / Translation from Sanskrit, introduction and commentary by T. Ya. Elizarenkova. Vols. I–III (Maṇḍalas I–IV; V–VIII; IX–X). Moscow: Nauka. (Literaturnye pamyatniki.)</w:t>
      </w:r>
    </w:p>
    <w:p>
      <w:pPr>
        <w:pStyle w:val="BodyText"/>
      </w:pPr>
      <w:r>
        <w:t xml:space="preserve">Елизаренкова, Т. Я. 1989, 1995, 1999:</w:t>
      </w:r>
      <w:r>
        <w:t xml:space="preserve"> </w:t>
      </w:r>
      <w:r>
        <w:rPr>
          <w:i/>
          <w:iCs/>
        </w:rPr>
        <w:t xml:space="preserve">Ригведа</w:t>
      </w:r>
      <w:r>
        <w:t xml:space="preserve"> </w:t>
      </w:r>
      <w:r>
        <w:t xml:space="preserve">/ пер. с санскрита, вступ. ст., предисл. и коммент. Т. Я. Елизаренковой. Т. I–III. М.: Наука. (Литературные памятники.)</w:t>
      </w:r>
    </w:p>
    <w:p>
      <w:pPr>
        <w:pStyle w:val="BodyText"/>
      </w:pPr>
      <w:r>
        <w:t xml:space="preserve">Erman, V. G. 2009:</w:t>
      </w:r>
      <w:r>
        <w:t xml:space="preserve"> </w:t>
      </w:r>
      <w:r>
        <w:rPr>
          <w:i/>
          <w:iCs/>
        </w:rPr>
        <w:t xml:space="preserve">Mahabharata. Book Six. Bhīṣmaparvan</w:t>
      </w:r>
      <w:r>
        <w:t xml:space="preserve"> </w:t>
      </w:r>
      <w:r>
        <w:t xml:space="preserve">/ Translation from Sanskrit, introduction and commentary by V. G. Erman. Moscow: Ladomir.</w:t>
      </w:r>
    </w:p>
    <w:p>
      <w:pPr>
        <w:pStyle w:val="BodyText"/>
      </w:pPr>
      <w:r>
        <w:t xml:space="preserve">Эрман, В. Г. 2009:</w:t>
      </w:r>
      <w:r>
        <w:t xml:space="preserve"> </w:t>
      </w:r>
      <w:r>
        <w:rPr>
          <w:i/>
          <w:iCs/>
        </w:rPr>
        <w:t xml:space="preserve">Махабхарата. Книга шестая. Бхишмапарва</w:t>
      </w:r>
      <w:r>
        <w:t xml:space="preserve"> </w:t>
      </w:r>
      <w:r>
        <w:t xml:space="preserve">/ пер. с санскрита, предисл. и коммент. В. Г. Эрмана. Ст. С. Д. Серебряного. М.: Ладомир. ISBN 978-5-86218-402-0. (Литературные памятники.)</w:t>
      </w:r>
    </w:p>
    <w:p>
      <w:pPr>
        <w:pStyle w:val="BodyText"/>
      </w:pPr>
      <w:r>
        <w:t xml:space="preserve">Goldman, R. P. (general editor) 1984–2017:</w:t>
      </w:r>
      <w:r>
        <w:t xml:space="preserve"> </w:t>
      </w:r>
      <w:r>
        <w:rPr>
          <w:i/>
          <w:iCs/>
        </w:rPr>
        <w:t xml:space="preserve">The Rāmāyaṇa of Vālmīki: An Epic of Ancient India</w:t>
      </w:r>
      <w:r>
        <w:t xml:space="preserve">. 7 vols. Princeton: Princeton University Press.</w:t>
      </w:r>
    </w:p>
    <w:p>
      <w:pPr>
        <w:pStyle w:val="BodyText"/>
      </w:pPr>
      <w:r>
        <w:t xml:space="preserve">Goldman, R. P., Sutherland Goldman, S. 2006:</w:t>
      </w:r>
      <w:r>
        <w:t xml:space="preserve"> </w:t>
      </w:r>
      <w:r>
        <w:rPr>
          <w:i/>
          <w:iCs/>
        </w:rPr>
        <w:t xml:space="preserve">Vālmīki. Rāmāyaṇa Book Five: Sundara</w:t>
      </w:r>
      <w:r>
        <w:t xml:space="preserve">. New York: NYU Press; JJC Foundation. (Clay Sanskrit Library.) ISBN 9780814731789.</w:t>
      </w:r>
    </w:p>
    <w:p>
      <w:pPr>
        <w:pStyle w:val="BodyText"/>
      </w:pPr>
      <w:r>
        <w:t xml:space="preserve">Grintser, P. A. 2006, 2014:</w:t>
      </w:r>
      <w:r>
        <w:t xml:space="preserve"> </w:t>
      </w:r>
      <w:r>
        <w:rPr>
          <w:i/>
          <w:iCs/>
        </w:rPr>
        <w:t xml:space="preserve">Vālmīki. Rāmāyaṇa</w:t>
      </w:r>
      <w:r>
        <w:t xml:space="preserve"> </w:t>
      </w:r>
      <w:r>
        <w:t xml:space="preserve">/ Translation from Sanskrit, introduction and commentary by P. A. Grintser. Books 1–2. Moscow: Ladomir; Nauka, 2006; Book 3 (ed. S. D. Serebryany), Moscow: Ladomir; Nauka, 2014.</w:t>
      </w:r>
    </w:p>
    <w:p>
      <w:pPr>
        <w:pStyle w:val="BodyText"/>
      </w:pPr>
      <w:r>
        <w:t xml:space="preserve">Гринцер, П. А. 2006, 2014:</w:t>
      </w:r>
      <w:r>
        <w:t xml:space="preserve"> </w:t>
      </w:r>
      <w:r>
        <w:rPr>
          <w:i/>
          <w:iCs/>
        </w:rPr>
        <w:t xml:space="preserve">Вальмики. Рамаяна</w:t>
      </w:r>
      <w:r>
        <w:t xml:space="preserve"> </w:t>
      </w:r>
      <w:r>
        <w:t xml:space="preserve">/ пер. с санскрита, ст., коммент. П. А. Гринцера. Кн. 1–2. М.: Ладомир; Наука, 2006. ISBN 5-86218-454-6. Кн. 3. М.: Ладомир; Наука, 2014. ISBN 978-5-86218-522-5. (Литературные памятники.)</w:t>
      </w:r>
    </w:p>
    <w:p>
      <w:pPr>
        <w:pStyle w:val="BodyText"/>
      </w:pPr>
      <w:r>
        <w:t xml:space="preserve">Jhalakikar, Bh. 1928 [1978]:</w:t>
      </w:r>
      <w:r>
        <w:t xml:space="preserve"> </w:t>
      </w:r>
      <w:r>
        <w:rPr>
          <w:i/>
          <w:iCs/>
        </w:rPr>
        <w:t xml:space="preserve">Nyāyakośa, or Dictionary of Technical Terms of Indian Philosophy</w:t>
      </w:r>
      <w:r>
        <w:t xml:space="preserve"> </w:t>
      </w:r>
      <w:r>
        <w:t xml:space="preserve">/ by Bhīmācārya Jhalakīkar; revised and re-edited by Vāsudev Shāstri Abhyankar. 3rd ed. Poona: Bhandarkar Oriental Research Institute, 1928 (4th ed. 1978). (Bombay Sanskrit and Prakrit Series, 49.)</w:t>
      </w:r>
    </w:p>
    <w:p>
      <w:pPr>
        <w:pStyle w:val="BodyText"/>
      </w:pPr>
      <w:r>
        <w:t xml:space="preserve">Kalyanov, V. I. 1950, 1962, 1967, 1976, 1992, 1996:</w:t>
      </w:r>
      <w:r>
        <w:t xml:space="preserve"> </w:t>
      </w:r>
      <w:r>
        <w:rPr>
          <w:i/>
          <w:iCs/>
        </w:rPr>
        <w:t xml:space="preserve">Mahabharata</w:t>
      </w:r>
      <w:r>
        <w:t xml:space="preserve">. Books I, II, IV, V, VII, IX / Translation from Sanskrit and commentary by V. I. Kalyanov. Moscow; Leningrad: Izdatel’stvo AN SSSR; Nauka; Ladomir.</w:t>
      </w:r>
    </w:p>
    <w:p>
      <w:pPr>
        <w:pStyle w:val="BodyText"/>
      </w:pPr>
      <w:r>
        <w:t xml:space="preserve">Кальянов, В. И. 1950, 1962, 1967, 1976, 1992, 1996:</w:t>
      </w:r>
      <w:r>
        <w:t xml:space="preserve"> </w:t>
      </w:r>
      <w:r>
        <w:rPr>
          <w:i/>
          <w:iCs/>
        </w:rPr>
        <w:t xml:space="preserve">Махабхарата.</w:t>
      </w:r>
      <w:r>
        <w:t xml:space="preserve"> </w:t>
      </w:r>
      <w:r>
        <w:t xml:space="preserve">Кн. I, II, IV, V, VII, IX / пер. с санскрита и коммент. В. И. Кальянова. М.; Л.: Изд-во АН СССР; Наука; Ладомир. (Литературные памятники.)</w:t>
      </w:r>
    </w:p>
    <w:p>
      <w:pPr>
        <w:pStyle w:val="BodyText"/>
      </w:pPr>
      <w:r>
        <w:t xml:space="preserve">Kazansky, N. N. 2025: Problemy kommentirovaniya i sopostavleniya v russko-latinskom parallel’nom korpuse [Problems of commentary and comparison in the Russian-Latin parallel corpus].</w:t>
      </w:r>
      <w:r>
        <w:t xml:space="preserve"> </w:t>
      </w:r>
      <w:r>
        <w:rPr>
          <w:i/>
          <w:iCs/>
        </w:rPr>
        <w:t xml:space="preserve">Indoevropeiskoe yazykoznanie i klassicheskaya filologiya</w:t>
      </w:r>
      <w:r>
        <w:t xml:space="preserve"> </w:t>
      </w:r>
      <w:r>
        <w:t xml:space="preserve">[Indo-European Linguistics and Classical Philology] 29, 857–873. DOI: 10.30842/ielcp2306901529049.</w:t>
      </w:r>
    </w:p>
    <w:p>
      <w:pPr>
        <w:pStyle w:val="BodyText"/>
      </w:pPr>
      <w:r>
        <w:t xml:space="preserve">Казанский, Н. Н. 2025: Проблемы комментирования и сопоставления в русско-латинском параллельном корпусе.</w:t>
      </w:r>
      <w:r>
        <w:t xml:space="preserve"> </w:t>
      </w:r>
      <w:r>
        <w:rPr>
          <w:i/>
          <w:iCs/>
        </w:rPr>
        <w:t xml:space="preserve">Индоевропейское языкознание и классическая филология</w:t>
      </w:r>
      <w:r>
        <w:t xml:space="preserve"> </w:t>
      </w:r>
      <w:r>
        <w:t xml:space="preserve">29, 857–873. DOI: 10.30842/ielcp2306901529049.</w:t>
      </w:r>
    </w:p>
    <w:p>
      <w:pPr>
        <w:pStyle w:val="BodyText"/>
      </w:pPr>
      <w:r>
        <w:t xml:space="preserve">Lelyukhin, D. N. 2011: Problema interpretatsii spetsial’noy sanskritskoy terminologii [The problem of interpretation of specific Sanskrit terminology]. In:</w:t>
      </w:r>
      <w:r>
        <w:t xml:space="preserve"> </w:t>
      </w:r>
      <w:r>
        <w:rPr>
          <w:i/>
          <w:iCs/>
        </w:rPr>
        <w:t xml:space="preserve">Śabdaprakāśa. Zografsky sbornik</w:t>
      </w:r>
      <w:r>
        <w:t xml:space="preserve"> </w:t>
      </w:r>
      <w:r>
        <w:t xml:space="preserve">[Śabdaprakāśa. The Zograph collection] I / Ed. by Ya. V. Vassilkov, S. V. Pakhomov. Saint Petersburg, 55–64.</w:t>
      </w:r>
    </w:p>
    <w:p>
      <w:pPr>
        <w:pStyle w:val="BodyText"/>
      </w:pPr>
      <w:r>
        <w:t xml:space="preserve">Лелюхин, Д. Н. 2011: Проблема интерпретации специальной санскритской терминологии. В сб.:</w:t>
      </w:r>
      <w:r>
        <w:t xml:space="preserve"> </w:t>
      </w:r>
      <w:r>
        <w:rPr>
          <w:i/>
          <w:iCs/>
        </w:rPr>
        <w:t xml:space="preserve">Шабдапракаша. Зографский сборник</w:t>
      </w:r>
      <w:r>
        <w:t xml:space="preserve"> </w:t>
      </w:r>
      <w:r>
        <w:t xml:space="preserve">I / под ред. Я. В. Василькова и С. В. Пахомова. СПб., 55–64.</w:t>
      </w:r>
    </w:p>
    <w:p>
      <w:pPr>
        <w:pStyle w:val="BodyText"/>
      </w:pPr>
      <w:r>
        <w:t xml:space="preserve">Lidova, N. R. 2024: Kommentariy v Drevney Indii [Commentary in ancient India]. In:</w:t>
      </w:r>
      <w:r>
        <w:t xml:space="preserve"> </w:t>
      </w:r>
      <w:r>
        <w:rPr>
          <w:i/>
          <w:iCs/>
        </w:rPr>
        <w:t xml:space="preserve">Kommentariy kak kul’turnyi fenomen</w:t>
      </w:r>
      <w:r>
        <w:t xml:space="preserve"> </w:t>
      </w:r>
      <w:r>
        <w:t xml:space="preserve">[Commentary as a cultural phenomenon]. Moscow: IMLI RAN, 31–66. DOI: 10.22455/978-5-9208-0618-5-31-66.</w:t>
      </w:r>
    </w:p>
    <w:p>
      <w:pPr>
        <w:pStyle w:val="BodyText"/>
      </w:pPr>
      <w:r>
        <w:t xml:space="preserve">Лидова, Н. Р. 2024: Комментарий в Древней Индии. В сб.:</w:t>
      </w:r>
      <w:r>
        <w:t xml:space="preserve"> </w:t>
      </w:r>
      <w:r>
        <w:rPr>
          <w:i/>
          <w:iCs/>
        </w:rPr>
        <w:t xml:space="preserve">Комментарий как культурный феномен.</w:t>
      </w:r>
      <w:r>
        <w:t xml:space="preserve"> </w:t>
      </w:r>
      <w:r>
        <w:t xml:space="preserve">М.: ИМЛИ РАН, 31–66. DOI: 10.22455/978-5-9208-0618-5-31-66.</w:t>
      </w:r>
    </w:p>
    <w:p>
      <w:pPr>
        <w:pStyle w:val="BodyText"/>
      </w:pPr>
      <w:r>
        <w:t xml:space="preserve">Paribok, A. V. 2007: O nekotorykh funktsional’nykh osobennostyakh indiyskogo korennogo teksta [On some functional features of the Indian root text]. In:</w:t>
      </w:r>
      <w:r>
        <w:t xml:space="preserve"> </w:t>
      </w:r>
      <w:r>
        <w:rPr>
          <w:i/>
          <w:iCs/>
        </w:rPr>
        <w:t xml:space="preserve">Filosofiya, religiya i kul’tura stran Vostoka</w:t>
      </w:r>
      <w:r>
        <w:t xml:space="preserve"> </w:t>
      </w:r>
      <w:r>
        <w:t xml:space="preserve">[Philosophy, religion and culture of the countries of the East]. Saint Petersburg: SPbGU, 262–267.</w:t>
      </w:r>
    </w:p>
    <w:p>
      <w:pPr>
        <w:pStyle w:val="BodyText"/>
      </w:pPr>
      <w:r>
        <w:t xml:space="preserve">Парибок, А. В. 2007: О некоторых функциональных особенностях индийского коренного текста. В сб.:</w:t>
      </w:r>
      <w:r>
        <w:t xml:space="preserve"> </w:t>
      </w:r>
      <w:r>
        <w:rPr>
          <w:i/>
          <w:iCs/>
        </w:rPr>
        <w:t xml:space="preserve">Философия, религия и культура стран Востока.</w:t>
      </w:r>
      <w:r>
        <w:t xml:space="preserve"> </w:t>
      </w:r>
      <w:r>
        <w:t xml:space="preserve">СПб.: Изд-во СПбГУ, 262–267.</w:t>
      </w:r>
    </w:p>
    <w:p>
      <w:pPr>
        <w:pStyle w:val="BodyText"/>
      </w:pPr>
      <w:r>
        <w:t xml:space="preserve">Paribok, A. V. 2011: Uroven’ smysla v tekstakh shastr: kontsepty ili ponyatiya? [The level of meaning in</w:t>
      </w:r>
      <w:r>
        <w:t xml:space="preserve"> </w:t>
      </w:r>
      <w:r>
        <w:rPr>
          <w:i/>
          <w:iCs/>
        </w:rPr>
        <w:t xml:space="preserve">śāstra</w:t>
      </w:r>
      <w:r>
        <w:t xml:space="preserve"> </w:t>
      </w:r>
      <w:r>
        <w:t xml:space="preserve">texts: concepts or notions?]. In:</w:t>
      </w:r>
      <w:r>
        <w:t xml:space="preserve"> </w:t>
      </w:r>
      <w:r>
        <w:rPr>
          <w:i/>
          <w:iCs/>
        </w:rPr>
        <w:t xml:space="preserve">Śabdaprakāśa. Zografsky sbornik</w:t>
      </w:r>
      <w:r>
        <w:t xml:space="preserve"> </w:t>
      </w:r>
      <w:r>
        <w:t xml:space="preserve">[Śabdaprakāśa. The Zograph collection] I / Ed. by Ya. V. Vassilkov, S. V. Pakhomov. Saint Petersburg, 80–86.</w:t>
      </w:r>
    </w:p>
    <w:p>
      <w:pPr>
        <w:pStyle w:val="BodyText"/>
      </w:pPr>
      <w:r>
        <w:t xml:space="preserve">Парибок, А. В. 2011: Уровень смысла в текстах шастр: концепты или понятия? В сб.:</w:t>
      </w:r>
      <w:r>
        <w:t xml:space="preserve"> </w:t>
      </w:r>
      <w:r>
        <w:rPr>
          <w:i/>
          <w:iCs/>
        </w:rPr>
        <w:t xml:space="preserve">Шабдапракаша. Зографский сборник</w:t>
      </w:r>
      <w:r>
        <w:t xml:space="preserve"> </w:t>
      </w:r>
      <w:r>
        <w:t xml:space="preserve">I / под ред. Я. В. Василькова и С. В. Пахомова. СПб., 80–86.</w:t>
      </w:r>
    </w:p>
    <w:p>
      <w:pPr>
        <w:pStyle w:val="BodyText"/>
      </w:pPr>
      <w:r>
        <w:t xml:space="preserve">Syrkin, A. Ya. 1964, 1965, 1967, 1992:</w:t>
      </w:r>
      <w:r>
        <w:t xml:space="preserve"> </w:t>
      </w:r>
      <w:r>
        <w:rPr>
          <w:i/>
          <w:iCs/>
        </w:rPr>
        <w:t xml:space="preserve">Brikhadaran’iaka-upanishada</w:t>
      </w:r>
      <w:r>
        <w:t xml:space="preserve">;</w:t>
      </w:r>
      <w:r>
        <w:t xml:space="preserve"> </w:t>
      </w:r>
      <w:r>
        <w:rPr>
          <w:i/>
          <w:iCs/>
        </w:rPr>
        <w:t xml:space="preserve">Chkhandog’ia-upanishada</w:t>
      </w:r>
      <w:r>
        <w:t xml:space="preserve">;</w:t>
      </w:r>
      <w:r>
        <w:t xml:space="preserve"> </w:t>
      </w:r>
      <w:r>
        <w:rPr>
          <w:i/>
          <w:iCs/>
        </w:rPr>
        <w:t xml:space="preserve">Upanishady</w:t>
      </w:r>
      <w:r>
        <w:t xml:space="preserve"> </w:t>
      </w:r>
      <w:r>
        <w:t xml:space="preserve">[</w:t>
      </w:r>
      <w:r>
        <w:rPr>
          <w:i/>
          <w:iCs/>
        </w:rPr>
        <w:t xml:space="preserve">Bṛhadāraṇyakopaniṣad</w:t>
      </w:r>
      <w:r>
        <w:t xml:space="preserve">;</w:t>
      </w:r>
      <w:r>
        <w:t xml:space="preserve"> </w:t>
      </w:r>
      <w:r>
        <w:rPr>
          <w:i/>
          <w:iCs/>
        </w:rPr>
        <w:t xml:space="preserve">Chāndogyopaniṣad</w:t>
      </w:r>
      <w:r>
        <w:t xml:space="preserve">;</w:t>
      </w:r>
      <w:r>
        <w:t xml:space="preserve"> </w:t>
      </w:r>
      <w:r>
        <w:rPr>
          <w:i/>
          <w:iCs/>
        </w:rPr>
        <w:t xml:space="preserve">Upaniṣads</w:t>
      </w:r>
      <w:r>
        <w:t xml:space="preserve">] / Translation from Sanskrit, introduction and commentary by A. Ya. Syrkin. Moscow: Nauka, 1964; 1965 (2nd ed. Ladomir; Nauka, 1992); 1967.</w:t>
      </w:r>
    </w:p>
    <w:p>
      <w:pPr>
        <w:pStyle w:val="BodyText"/>
      </w:pPr>
      <w:r>
        <w:t xml:space="preserve">Сыркин, А. Я. 1964, 1965, 1967, 1992:</w:t>
      </w:r>
      <w:r>
        <w:t xml:space="preserve"> </w:t>
      </w:r>
      <w:r>
        <w:rPr>
          <w:i/>
          <w:iCs/>
        </w:rPr>
        <w:t xml:space="preserve">Брихадараньяка-упанишада</w:t>
      </w:r>
      <w:r>
        <w:t xml:space="preserve">;</w:t>
      </w:r>
      <w:r>
        <w:t xml:space="preserve"> </w:t>
      </w:r>
      <w:r>
        <w:rPr>
          <w:i/>
          <w:iCs/>
        </w:rPr>
        <w:t xml:space="preserve">Чхандогья-упанишада</w:t>
      </w:r>
      <w:r>
        <w:t xml:space="preserve">;</w:t>
      </w:r>
      <w:r>
        <w:t xml:space="preserve"> </w:t>
      </w:r>
      <w:r>
        <w:rPr>
          <w:i/>
          <w:iCs/>
        </w:rPr>
        <w:t xml:space="preserve">Упанишады.</w:t>
      </w:r>
      <w:r>
        <w:t xml:space="preserve"> </w:t>
      </w:r>
      <w:r>
        <w:t xml:space="preserve">М.: Наука, 1964; 1965 (2-е изд. М.: Ладомир; Наука, 1992); 1967. (Памятники литературы народов Востока; Памятники письменности Востока.)</w:t>
      </w:r>
    </w:p>
    <w:p>
      <w:pPr>
        <w:pStyle w:val="BodyText"/>
      </w:pPr>
      <w:r>
        <w:t xml:space="preserve">Toporov, V. N. (ed.) 2006:</w:t>
      </w:r>
      <w:r>
        <w:t xml:space="preserve"> </w:t>
      </w:r>
      <w:r>
        <w:rPr>
          <w:i/>
          <w:iCs/>
        </w:rPr>
        <w:t xml:space="preserve">Tekst i kommentariy: Kruglyy stol k 75-letiyu Vyach. Vs. Ivanova</w:t>
      </w:r>
      <w:r>
        <w:t xml:space="preserve"> </w:t>
      </w:r>
      <w:r>
        <w:t xml:space="preserve">[Text and commentary: Round table dedicated to the 75th anniversary of Vyach. Vs. Ivanov]. Moscow: Nauka.</w:t>
      </w:r>
    </w:p>
    <w:p>
      <w:pPr>
        <w:pStyle w:val="BodyText"/>
      </w:pPr>
      <w:r>
        <w:t xml:space="preserve">Топоров, В. Н. (отв. ред.) 2006:</w:t>
      </w:r>
      <w:r>
        <w:t xml:space="preserve"> </w:t>
      </w:r>
      <w:r>
        <w:rPr>
          <w:i/>
          <w:iCs/>
        </w:rPr>
        <w:t xml:space="preserve">Текст и комментарий: Круглый стол к 75-летию Вяч. Вс. Иванова.</w:t>
      </w:r>
      <w:r>
        <w:t xml:space="preserve"> </w:t>
      </w:r>
      <w:r>
        <w:t xml:space="preserve">М.: Наука.</w:t>
      </w:r>
    </w:p>
    <w:p>
      <w:pPr>
        <w:pStyle w:val="BodyText"/>
      </w:pPr>
      <w:r>
        <w:t xml:space="preserve">Tubb, G. A., Boose, E. R. 2005:</w:t>
      </w:r>
      <w:r>
        <w:t xml:space="preserve"> </w:t>
      </w:r>
      <w:r>
        <w:rPr>
          <w:i/>
          <w:iCs/>
        </w:rPr>
        <w:t xml:space="preserve">Scholastic Sanskrit: A Handbook for Students</w:t>
      </w:r>
      <w:r>
        <w:t xml:space="preserve">. New York: American Institute of Buddhist Studies; Columbia University’s Center for Buddhist Studies; Tibet House US. xxx + 300 p. (Treasury of the Indic Sciences.) ISBN 9780975373477.</w:t>
      </w:r>
    </w:p>
    <w:p>
      <w:pPr>
        <w:pStyle w:val="BodyText"/>
      </w:pPr>
      <w:r>
        <w:t xml:space="preserve">Vassilkov, Ya. V., Neveleva, S. L. 1987, 1990, 1998, 2003, 2005:</w:t>
      </w:r>
      <w:r>
        <w:t xml:space="preserve"> </w:t>
      </w:r>
      <w:r>
        <w:rPr>
          <w:i/>
          <w:iCs/>
        </w:rPr>
        <w:t xml:space="preserve">Mahabharata</w:t>
      </w:r>
      <w:r>
        <w:t xml:space="preserve">. Books III, VIII, X–XI, XIV, XV–XVIII / Translation from Sanskrit, introduction and commentary by Ya. V. Vassilkov and S. L. Neveleva. Moscow; Saint Petersburg: Nauka; Yanus-K.</w:t>
      </w:r>
    </w:p>
    <w:p>
      <w:pPr>
        <w:pStyle w:val="BodyText"/>
      </w:pPr>
      <w:r>
        <w:t xml:space="preserve">Васильков, Я. В., Невелева, С. Л. 1987, 1990, 1998, 2003, 2005:</w:t>
      </w:r>
      <w:r>
        <w:t xml:space="preserve"> </w:t>
      </w:r>
      <w:r>
        <w:rPr>
          <w:i/>
          <w:iCs/>
        </w:rPr>
        <w:t xml:space="preserve">Махабхарата.</w:t>
      </w:r>
      <w:r>
        <w:t xml:space="preserve"> </w:t>
      </w:r>
      <w:r>
        <w:t xml:space="preserve">Кн. III, VIII, X–XI, XIV, XV–XVIII / пер. с санскрита, предисл. и коммент. Я. В. Василькова и С. Л. Невелевой. М.; СПб.: Наука; Янус-К. (Памятники письменности Востока.)</w:t>
      </w:r>
    </w:p>
    <w:p>
      <w:pPr>
        <w:pStyle w:val="BodyText"/>
      </w:pPr>
      <w:r>
        <w:rPr>
          <w:i/>
          <w:iCs/>
        </w:rPr>
        <w:t xml:space="preserve">CommentaryStrategies</w:t>
      </w:r>
      <w:r>
        <w:t xml:space="preserve"> </w:t>
      </w:r>
      <w:r>
        <w:t xml:space="preserve">— Repository of analytical annotations of Russian translations of Sanskrit texts. URL: https://github.com/gasyoun/CommentaryStrategies (accessed 01.05.2026).</w:t>
      </w:r>
    </w:p>
    <w:p>
      <w:pPr>
        <w:pStyle w:val="BodyText"/>
      </w:pPr>
      <w:r>
        <w:rPr>
          <w:i/>
          <w:iCs/>
        </w:rPr>
        <w:t xml:space="preserve">Corpus Latino-Rossicum</w:t>
      </w:r>
      <w:r>
        <w:t xml:space="preserve"> </w:t>
      </w:r>
      <w:r>
        <w:t xml:space="preserve">— Russian-Latin parallel corpus, ILS RAS. URL: https://clr.iling.spb.ru (accessed 01.05.2026).</w:t>
      </w:r>
    </w:p>
    <w:p>
      <w:r>
        <w:pict>
          <v:rect style="width:0;height:1.5pt" o:hralign="center" o:hrstd="t" o:hr="t"/>
        </w:pict>
      </w:r>
    </w:p>
    <w:bookmarkEnd w:id="19"/>
    <w:bookmarkStart w:id="20" w:name="Xb768ac7b6c48279fee663486b1c61510e894d90"/>
    <w:p>
      <w:pPr>
        <w:pStyle w:val="Heading2"/>
      </w:pPr>
      <w:r>
        <w:t xml:space="preserve">Приложение. Краткий чек-лист для подготовки нового переводческого тома</w:t>
      </w:r>
    </w:p>
    <w:p>
      <w:pPr>
        <w:pStyle w:val="FirstParagraph"/>
      </w:pPr>
      <w:r>
        <w:t xml:space="preserve">Сводный список практических следствий из предложенной четырёхпараметрической рамки. Перечень носит характер методического приложения, а не нормативной программы.</w:t>
      </w:r>
    </w:p>
    <w:p>
      <w:pPr>
        <w:pStyle w:val="Compact"/>
        <w:numPr>
          <w:ilvl w:val="0"/>
          <w:numId w:val="1001"/>
        </w:numPr>
      </w:pPr>
      <w:r>
        <w:t xml:space="preserve">Каждое примечание получает один-два маркера по тематической рубрике (восемь рубрик: термин, миф или персонаж, контекст, реалия, география, отсылка, текстология, философия). (2) Каждое примечание получает маркер базового типа комментария (в корпусной номенклатуре Н. Н. Казанского) — филологический, реальный, исторический, культурологический. (3) Каждое примечание получает маркер по структурной функции</w:t>
      </w:r>
      <w:r>
        <w:t xml:space="preserve"> </w:t>
      </w:r>
      <w:r>
        <w:rPr>
          <w:i/>
          <w:iCs/>
        </w:rPr>
        <w:t xml:space="preserve">vyākhyāna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padaccheda</w:t>
      </w:r>
      <w:r>
        <w:t xml:space="preserve">,</w:t>
      </w:r>
      <w:r>
        <w:t xml:space="preserve"> </w:t>
      </w:r>
      <w:r>
        <w:rPr>
          <w:i/>
          <w:iCs/>
        </w:rPr>
        <w:t xml:space="preserve">padārthokti</w:t>
      </w:r>
      <w:r>
        <w:t xml:space="preserve">,</w:t>
      </w:r>
      <w:r>
        <w:t xml:space="preserve"> </w:t>
      </w:r>
      <w:r>
        <w:rPr>
          <w:i/>
          <w:iCs/>
        </w:rPr>
        <w:t xml:space="preserve">vigraha</w:t>
      </w:r>
      <w:r>
        <w:t xml:space="preserve">,</w:t>
      </w:r>
      <w:r>
        <w:t xml:space="preserve"> </w:t>
      </w:r>
      <w:r>
        <w:rPr>
          <w:i/>
          <w:iCs/>
        </w:rPr>
        <w:t xml:space="preserve">vākyayojanā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ākṣepasamādhāna</w:t>
      </w:r>
      <w:r>
        <w:t xml:space="preserve"> </w:t>
      </w:r>
      <w:r>
        <w:t xml:space="preserve">(чаще всего —</w:t>
      </w:r>
      <w:r>
        <w:t xml:space="preserve"> </w:t>
      </w:r>
      <w:r>
        <w:rPr>
          <w:i/>
          <w:iCs/>
        </w:rPr>
        <w:t xml:space="preserve">padārthokti</w:t>
      </w:r>
      <w:r>
        <w:t xml:space="preserve"> </w:t>
      </w:r>
      <w:r>
        <w:t xml:space="preserve">и/или</w:t>
      </w:r>
      <w:r>
        <w:t xml:space="preserve"> </w:t>
      </w:r>
      <w:r>
        <w:rPr>
          <w:i/>
          <w:iCs/>
        </w:rPr>
        <w:t xml:space="preserve">ākṣepasamādhāna</w:t>
      </w:r>
      <w:r>
        <w:t xml:space="preserve">). (4) Каждое примечание, касающееся ключевого санскритского термина из списка Парибка, получает категориальный маркер (понятие, концепт или кодификатор направления деятельности). (5) Все четыре базовых типа комментария (по корпусной номенклатуре) представлены в томе с заметной долей; систематический пробел по любому из них фиксируется в редакторском предисловии. (6) Все значимые сложные слова при первом появлении получают разбор в функции</w:t>
      </w:r>
      <w:r>
        <w:t xml:space="preserve"> </w:t>
      </w:r>
      <w:r>
        <w:rPr>
          <w:i/>
          <w:iCs/>
        </w:rPr>
        <w:t xml:space="preserve">vigraha</w:t>
      </w:r>
      <w:r>
        <w:t xml:space="preserve">. (7) Все случаи комментаторских расхождений показываются как расхождения в функции</w:t>
      </w:r>
      <w:r>
        <w:t xml:space="preserve"> </w:t>
      </w:r>
      <w:r>
        <w:rPr>
          <w:i/>
          <w:iCs/>
        </w:rPr>
        <w:t xml:space="preserve">ākṣepasamādhāna</w:t>
      </w:r>
      <w:r>
        <w:t xml:space="preserve">, а не унифицируются в пользу одной интерпретации. (8) Каждый перевод из принстонского или Clay Sanskrit Library издания (для Рамаяны), как и любая отсылка к западному академическому аппарату, помечен с указанием источника. (9) Каждая цитата из индийского комментатора (для Рамаяны — Тилака, Бхушана, Широмани, Таттвадипика, Амрита; для Махабхараты — Девабодха, Нилакантха; для упанишад — Шанкара, Рамануджа, Мадхусудана) приводится с явным указанием комментария и его адреса. (10) Слова-кодификаторы по Парибку (</w:t>
      </w:r>
      <w:r>
        <w:rPr>
          <w:i/>
          <w:iCs/>
        </w:rPr>
        <w:t xml:space="preserve">dharma</w:t>
      </w:r>
      <w:r>
        <w:t xml:space="preserve">,</w:t>
      </w:r>
      <w:r>
        <w:t xml:space="preserve"> </w:t>
      </w:r>
      <w:r>
        <w:rPr>
          <w:i/>
          <w:iCs/>
        </w:rPr>
        <w:t xml:space="preserve">karma</w:t>
      </w:r>
      <w:r>
        <w:t xml:space="preserve">,</w:t>
      </w:r>
      <w:r>
        <w:t xml:space="preserve"> </w:t>
      </w:r>
      <w:r>
        <w:rPr>
          <w:i/>
          <w:iCs/>
        </w:rPr>
        <w:t xml:space="preserve">māyā</w:t>
      </w:r>
      <w:r>
        <w:t xml:space="preserve">,</w:t>
      </w:r>
      <w:r>
        <w:t xml:space="preserve"> </w:t>
      </w:r>
      <w:r>
        <w:rPr>
          <w:i/>
          <w:iCs/>
        </w:rPr>
        <w:t xml:space="preserve">yoga</w:t>
      </w:r>
      <w:r>
        <w:t xml:space="preserve">,</w:t>
      </w:r>
      <w:r>
        <w:t xml:space="preserve"> </w:t>
      </w:r>
      <w:r>
        <w:rPr>
          <w:i/>
          <w:iCs/>
        </w:rPr>
        <w:t xml:space="preserve">bhakti</w:t>
      </w:r>
      <w:r>
        <w:t xml:space="preserve">,</w:t>
      </w:r>
      <w:r>
        <w:t xml:space="preserve"> </w:t>
      </w:r>
      <w:r>
        <w:rPr>
          <w:i/>
          <w:iCs/>
        </w:rPr>
        <w:t xml:space="preserve">brahman</w:t>
      </w:r>
      <w:r>
        <w:t xml:space="preserve">,</w:t>
      </w:r>
      <w:r>
        <w:t xml:space="preserve"> </w:t>
      </w:r>
      <w:r>
        <w:rPr>
          <w:i/>
          <w:iCs/>
        </w:rPr>
        <w:t xml:space="preserve">ātman</w:t>
      </w:r>
      <w:r>
        <w:t xml:space="preserve">,</w:t>
      </w:r>
      <w:r>
        <w:t xml:space="preserve"> </w:t>
      </w:r>
      <w:r>
        <w:rPr>
          <w:i/>
          <w:iCs/>
        </w:rPr>
        <w:t xml:space="preserve">mokṣa</w:t>
      </w:r>
      <w:r>
        <w:t xml:space="preserve">,</w:t>
      </w:r>
      <w:r>
        <w:t xml:space="preserve"> </w:t>
      </w:r>
      <w:r>
        <w:rPr>
          <w:i/>
          <w:iCs/>
        </w:rPr>
        <w:t xml:space="preserve">bodhicitta</w:t>
      </w:r>
      <w:r>
        <w:t xml:space="preserve">,</w:t>
      </w:r>
      <w:r>
        <w:t xml:space="preserve"> </w:t>
      </w:r>
      <w:r>
        <w:rPr>
          <w:i/>
          <w:iCs/>
        </w:rPr>
        <w:t xml:space="preserve">guru</w:t>
      </w:r>
      <w:r>
        <w:t xml:space="preserve">,</w:t>
      </w:r>
      <w:r>
        <w:t xml:space="preserve"> </w:t>
      </w:r>
      <w:r>
        <w:rPr>
          <w:i/>
          <w:iCs/>
        </w:rPr>
        <w:t xml:space="preserve">duḥkha</w:t>
      </w:r>
      <w:r>
        <w:t xml:space="preserve"> </w:t>
      </w:r>
      <w:r>
        <w:t xml:space="preserve">и др.) переводятся с обязательным комментарием, фиксирующим категориальный статус термина. (11) Опуск формульного эпитета (</w:t>
      </w:r>
      <w:r>
        <w:rPr>
          <w:i/>
          <w:iCs/>
        </w:rPr>
        <w:t xml:space="preserve">śatrukarśanaḥ</w:t>
      </w:r>
      <w:r>
        <w:t xml:space="preserve">,</w:t>
      </w:r>
      <w:r>
        <w:t xml:space="preserve"> </w:t>
      </w:r>
      <w:r>
        <w:rPr>
          <w:i/>
          <w:iCs/>
        </w:rPr>
        <w:t xml:space="preserve">mahābalaḥ</w:t>
      </w:r>
      <w:r>
        <w:t xml:space="preserve">,</w:t>
      </w:r>
      <w:r>
        <w:t xml:space="preserve"> </w:t>
      </w:r>
      <w:r>
        <w:rPr>
          <w:i/>
          <w:iCs/>
        </w:rPr>
        <w:t xml:space="preserve">plavaṃgapravara</w:t>
      </w:r>
      <w:r>
        <w:t xml:space="preserve"> </w:t>
      </w:r>
      <w:r>
        <w:t xml:space="preserve">и т. п.) — эксплицитное решение, помеченное в редакторской установке. (12) При работе с историко-социологической терминологией (</w:t>
      </w:r>
      <w:r>
        <w:rPr>
          <w:i/>
          <w:iCs/>
        </w:rPr>
        <w:t xml:space="preserve">adhyakṣa</w:t>
      </w:r>
      <w:r>
        <w:t xml:space="preserve">,</w:t>
      </w:r>
      <w:r>
        <w:t xml:space="preserve"> </w:t>
      </w:r>
      <w:r>
        <w:rPr>
          <w:i/>
          <w:iCs/>
        </w:rPr>
        <w:t xml:space="preserve">rājan</w:t>
      </w:r>
      <w:r>
        <w:t xml:space="preserve">,</w:t>
      </w:r>
      <w:r>
        <w:t xml:space="preserve"> </w:t>
      </w:r>
      <w:r>
        <w:rPr>
          <w:i/>
          <w:iCs/>
        </w:rPr>
        <w:t xml:space="preserve">gaṇa</w:t>
      </w:r>
      <w:r>
        <w:t xml:space="preserve">,</w:t>
      </w:r>
      <w:r>
        <w:t xml:space="preserve"> </w:t>
      </w:r>
      <w:r>
        <w:rPr>
          <w:i/>
          <w:iCs/>
        </w:rPr>
        <w:t xml:space="preserve">saṃgha</w:t>
      </w:r>
      <w:r>
        <w:t xml:space="preserve">,</w:t>
      </w:r>
      <w:r>
        <w:t xml:space="preserve"> </w:t>
      </w:r>
      <w:r>
        <w:rPr>
          <w:i/>
          <w:iCs/>
        </w:rPr>
        <w:t xml:space="preserve">daṇḍa</w:t>
      </w:r>
      <w:r>
        <w:t xml:space="preserve">) проводится категориальная проверка: ищет ли переводчик «понятие» или в источнике — «кодификатор» (Lelyukhin 2011: 55–64). (13) По возможности каждое примечание получает стабильный URI в электронном репозитории</w:t>
      </w:r>
      <w:r>
        <w:t xml:space="preserve"> </w:t>
      </w:r>
      <w:r>
        <w:rPr>
          <w:i/>
          <w:iCs/>
        </w:rPr>
        <w:t xml:space="preserve">CommentaryStrategies</w:t>
      </w:r>
      <w:r>
        <w:t xml:space="preserve"> </w:t>
      </w:r>
      <w:r>
        <w:t xml:space="preserve">до выхода бумажного издания.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Разделение комментария на грамматический (языковой/филологический), исторический, комментарий к реалиям и литературный восходит к классической филологии XIX в. (в частности, к А. Бёку, заложившему основы филологической герменевтики:</w:t>
      </w:r>
      <w:r>
        <w:t xml:space="preserve"> </w:t>
      </w:r>
      <w:r>
        <w:rPr>
          <w:i/>
          <w:iCs/>
        </w:rPr>
        <w:t xml:space="preserve">Boeckh A.</w:t>
      </w:r>
      <w:r>
        <w:t xml:space="preserve"> </w:t>
      </w:r>
      <w:r>
        <w:t xml:space="preserve">Encyklopädie und Methodologie der philologischen Wissenschaften. Leipzig, 1877). В отечественной текстологии (Б. В. Томашевский, Д. С. Лихачев) классическая номенклатура устоялась с середины XX в.: принято выделять текстологический, историко-литературный, реальный (объясняющий исторические реалии) и словарный комментарии. Н. Н. Казанский в указанной работе не вводит новую классификацию, а применяет этот устоявшийся стандарт к задачам современного цифрового параллельного корпуса.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340"/>
    </w:pPr>
    <w:rPr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rPr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Комментаторские стратегии русских переводчиков санскритских текстов</dc:title>
  <dc:creator>Гасунс М.</dc:creator>
  <dc:language>ru</dc:language>
  <cp:keywords>комментарий, перевод, санскрит, типология комментария, параллельный корпус, bhāṣya, vyākhyāna, lakṣaṇa, Махабхарата, Рамаяна, Артхашастра, Сундараканда</cp:keywords>
  <dcterms:created xsi:type="dcterms:W3CDTF">2026-05-01T16:26:14Z</dcterms:created>
  <dcterms:modified xsi:type="dcterms:W3CDTF">2026-05-01T16:26:14Z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eywords-en">
    <vt:lpwstr/>
  </property>
</Properties>
</file>