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52.png" ContentType="image/png"/>
  <Override PartName="/word/media/rId17.png" ContentType="image/png"/>
  <Override PartName="/word/media/rId44.png" ContentType="image/png"/>
  <Override PartName="/word/media/rId40.png" ContentType="image/png"/>
  <Override PartName="/word/media/rId78.png" ContentType="image/png"/>
  <Override PartName="/word/media/rId55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Редакционная пауза, 24.05.2026.</w:t>
      </w:r>
      <w:r>
        <w:t xml:space="preserve"> </w:t>
      </w:r>
      <w:r>
        <w:t xml:space="preserve">После восстановления ранее пропущенных</w:t>
      </w:r>
      <w:r>
        <w:t xml:space="preserve"> </w:t>
      </w:r>
      <w:r>
        <w:t xml:space="preserve">строк официальных программ текущая база содержит</w:t>
      </w:r>
      <w:r>
        <w:t xml:space="preserve"> </w:t>
      </w:r>
      <w:r>
        <w:rPr>
          <w:b/>
          <w:bCs/>
        </w:rPr>
        <w:t xml:space="preserve">286 участников, 1350</w:t>
      </w:r>
      <w:r>
        <w:rPr>
          <w:b/>
          <w:bCs/>
        </w:rPr>
        <w:t xml:space="preserve"> </w:t>
      </w:r>
      <w:r>
        <w:rPr>
          <w:b/>
          <w:bCs/>
        </w:rPr>
        <w:t xml:space="preserve">уникальных докладов и 1377 авторских участий</w:t>
      </w:r>
      <w:r>
        <w:t xml:space="preserve"> </w:t>
      </w:r>
      <w:r>
        <w:t xml:space="preserve">за</w:t>
      </w:r>
      <w:r>
        <w:t xml:space="preserve"> </w:t>
      </w:r>
      <w:r>
        <w:rPr>
          <w:b/>
          <w:bCs/>
        </w:rPr>
        <w:t xml:space="preserve">22 программных года</w:t>
      </w:r>
      <w:r>
        <w:t xml:space="preserve">.</w:t>
      </w:r>
      <w:r>
        <w:t xml:space="preserve"> </w:t>
      </w:r>
      <w:r>
        <w:t xml:space="preserve">Численные результаты этой расширенной рабочей версии требуют повторного</w:t>
      </w:r>
      <w:r>
        <w:t xml:space="preserve"> </w:t>
      </w:r>
      <w:r>
        <w:t xml:space="preserve">расчета перед использованием в публикации.</w:t>
      </w:r>
      <w:r>
        <w:t xml:space="preserve"> </w:t>
      </w:r>
      <w:r>
        <w:t xml:space="preserve">Сверенные текущие показатели вынесены в</w:t>
      </w:r>
      <w:r>
        <w:t xml:space="preserve"> </w:t>
      </w:r>
      <w:r>
        <w:rPr>
          <w:rStyle w:val="VerbatimChar"/>
        </w:rPr>
        <w:t xml:space="preserve">ppv_submission_article.md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article/hypothesis_output/</w:t>
      </w:r>
      <w:r>
        <w:t xml:space="preserve"> </w:t>
      </w:r>
      <w:r>
        <w:t xml:space="preserve">и на страницу</w:t>
      </w:r>
      <w:r>
        <w:t xml:space="preserve"> </w:t>
      </w:r>
      <w:r>
        <w:rPr>
          <w:rStyle w:val="VerbatimChar"/>
        </w:rPr>
        <w:t xml:space="preserve">findings/</w:t>
      </w:r>
      <w:r>
        <w:t xml:space="preserve">; ниже в рабочем</w:t>
      </w:r>
      <w:r>
        <w:t xml:space="preserve"> </w:t>
      </w:r>
      <w:r>
        <w:t xml:space="preserve">драфте сохраняются отдельные архивные разделы старого расчетного слоя.</w:t>
      </w:r>
    </w:p>
    <w:p>
      <w:pPr>
        <w:pStyle w:val="FirstParagraph"/>
      </w:pPr>
      <w:r>
        <w:t xml:space="preserve">УДК 061.3:001.32(470:540)</w:t>
      </w:r>
    </w:p>
    <w:bookmarkStart w:id="85" w:name="X5255a80af6f15ace933f04c3f50effef4c1a446"/>
    <w:p>
      <w:pPr>
        <w:pStyle w:val="Heading1"/>
      </w:pPr>
      <w:r>
        <w:t xml:space="preserve">Зографские и Рериховские чтения, 2004–2026: ретроспективный сравнительный анализ участников и тематик</w:t>
      </w:r>
    </w:p>
    <w:p>
      <w:pPr>
        <w:pStyle w:val="FirstParagraph"/>
      </w:pPr>
      <w:r>
        <w:rPr>
          <w:b/>
          <w:bCs/>
        </w:rPr>
        <w:t xml:space="preserve">М. Ю. Гасунс</w:t>
      </w:r>
      <w:r>
        <w:t xml:space="preserve"> </w:t>
      </w:r>
      <w:r>
        <w:t xml:space="preserve">— независимый исследователь, Москва, Россия.</w:t>
      </w:r>
      <w:r>
        <w:t xml:space="preserve"> </w:t>
      </w:r>
      <w:r>
        <w:t xml:space="preserve">E-mail: gasyoun@gmail.com. ORCID: ___________________</w:t>
      </w:r>
      <w:r>
        <w:t xml:space="preserve"> </w:t>
      </w:r>
      <w:r>
        <w:rPr>
          <w:i/>
          <w:iCs/>
        </w:rPr>
        <w:t xml:space="preserve">(заполнить перед подачей)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M. Yu. Gasūns</w:t>
      </w:r>
      <w:r>
        <w:t xml:space="preserve"> </w:t>
      </w:r>
      <w:r>
        <w:t xml:space="preserve">— independent researcher, Moscow, Russia.</w:t>
      </w:r>
    </w:p>
    <w:p>
      <w:pPr>
        <w:pStyle w:val="BlockText"/>
      </w:pPr>
      <w:r>
        <w:t xml:space="preserve">Рабочий драфт для ППВ. Версия 0.7, 2026-05-24. Целевой объем 12–15 стр., итоговое</w:t>
      </w:r>
      <w:r>
        <w:t xml:space="preserve"> </w:t>
      </w:r>
      <w:r>
        <w:t xml:space="preserve">назначение — раздел «Научная жизнь» либо обзорно-аналитическая статья. В версии 0.4</w:t>
      </w:r>
      <w:r>
        <w:t xml:space="preserve"> </w:t>
      </w:r>
      <w:r>
        <w:t xml:space="preserve">добавлены проверки дополнительных гипотез и публикационные рисунки; в версии 0.5</w:t>
      </w:r>
      <w:r>
        <w:t xml:space="preserve"> </w:t>
      </w:r>
      <w:r>
        <w:t xml:space="preserve">встроены результаты следующего прохода по возрасту дебюта, ИКВИА/ВШЭ и сессионным</w:t>
      </w:r>
      <w:r>
        <w:t xml:space="preserve"> </w:t>
      </w:r>
      <w:r>
        <w:t xml:space="preserve">сетевым посредникам; в версии 0.6 уточнены правое цензурирование 2026 г.,</w:t>
      </w:r>
      <w:r>
        <w:t xml:space="preserve"> </w:t>
      </w:r>
      <w:r>
        <w:t xml:space="preserve">интерпретация метрик закрытости и подписи публикационных рисунков; в версии 0.7</w:t>
      </w:r>
      <w:r>
        <w:t xml:space="preserve"> </w:t>
      </w:r>
      <w:r>
        <w:t xml:space="preserve">синхронизированы базовые числа статьи с сайтом и текущей БД, а также формализованы</w:t>
      </w:r>
      <w:r>
        <w:t xml:space="preserve"> </w:t>
      </w:r>
      <w:r>
        <w:t xml:space="preserve">дополнительные гипотезы Н11–Н35.</w:t>
      </w:r>
    </w:p>
    <w:p>
      <w:r>
        <w:pict>
          <v:rect style="width:0;height:1.5pt" o:hralign="center" o:hrstd="t" o:hr="t"/>
        </w:pic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Статья представляет ретроспективный количественный анализ двух долговременных публично</w:t>
      </w:r>
      <w:r>
        <w:t xml:space="preserve"> </w:t>
      </w:r>
      <w:r>
        <w:t xml:space="preserve">наблюдаемых индологических научных чтений России — Зографских чтений (Санкт-Петербург, с 1980 г.,</w:t>
      </w:r>
      <w:r>
        <w:t xml:space="preserve"> </w:t>
      </w:r>
      <w:r>
        <w:t xml:space="preserve">в формальном статусе с 1994 г.) и Рериховских чтений (Москва, с 1960 г.) — за период,</w:t>
      </w:r>
      <w:r>
        <w:t xml:space="preserve"> </w:t>
      </w:r>
      <w:r>
        <w:t xml:space="preserve">для которого удалось собрать сопоставимые данные о составе участников: 2004–2026.</w:t>
      </w:r>
      <w:r>
        <w:t xml:space="preserve"> </w:t>
      </w:r>
      <w:r>
        <w:t xml:space="preserve">На основе нормализованного корпуса из 895 включенных в базу докладов и 220 ученых</w:t>
      </w:r>
      <w:r>
        <w:t xml:space="preserve"> </w:t>
      </w:r>
      <w:r>
        <w:t xml:space="preserve">(837 состоявшихся докладов по 2025 г. и 58 докладов предварительной программы</w:t>
      </w:r>
      <w:r>
        <w:t xml:space="preserve"> </w:t>
      </w:r>
      <w:r>
        <w:t xml:space="preserve">Зографских чтений 2026 г.) мы вычисляем шесть метрик</w:t>
      </w:r>
      <w:r>
        <w:t xml:space="preserve"> </w:t>
      </w:r>
      <w:r>
        <w:t xml:space="preserve">«закрытости клуба» (доля разовых участников, доля ядра, индекс Джини, удержание дебютантов,</w:t>
      </w:r>
      <w:r>
        <w:t xml:space="preserve"> </w:t>
      </w:r>
      <w:r>
        <w:t xml:space="preserve">выживаемость когорт, темпы обновления состава), сопоставляем тематические профили двух</w:t>
      </w:r>
      <w:r>
        <w:t xml:space="preserve"> </w:t>
      </w:r>
      <w:r>
        <w:t xml:space="preserve">чтений по четырем осям (дисциплина, период, материал, характер) и проверяем гласно</w:t>
      </w:r>
      <w:r>
        <w:t xml:space="preserve"> </w:t>
      </w:r>
      <w:r>
        <w:t xml:space="preserve">заявленные критерии участия против фактического состава. Главный вывод: Рериховские</w:t>
      </w:r>
      <w:r>
        <w:t xml:space="preserve"> </w:t>
      </w:r>
      <w:r>
        <w:t xml:space="preserve">чтения, имея в полтора раза меньше уникальных ученых, демонстрируют описательно более</w:t>
      </w:r>
      <w:r>
        <w:t xml:space="preserve"> </w:t>
      </w:r>
      <w:r>
        <w:t xml:space="preserve">плотное ядро (31.9% против 24.0% в Зографе; без предварительной программы 2026 г. —</w:t>
      </w:r>
      <w:r>
        <w:t xml:space="preserve"> </w:t>
      </w:r>
      <w:r>
        <w:t xml:space="preserve">25.7% в Зографе) и более высокую тематическую концентрацию</w:t>
      </w:r>
      <w:r>
        <w:t xml:space="preserve"> </w:t>
      </w:r>
      <w:r>
        <w:t xml:space="preserve">вокруг средневекового и классического периодов (74% докладов против 56%). Зографские</w:t>
      </w:r>
      <w:r>
        <w:t xml:space="preserve"> </w:t>
      </w:r>
      <w:r>
        <w:t xml:space="preserve">чтения, напротив, до недавнего времени сохраняли более широкое распределение по периодам</w:t>
      </w:r>
      <w:r>
        <w:t xml:space="preserve"> </w:t>
      </w:r>
      <w:r>
        <w:t xml:space="preserve">и явное доминирование философской проблематики. Сопоставление публикуемой риторики</w:t>
      </w:r>
      <w:r>
        <w:t xml:space="preserve"> </w:t>
      </w:r>
      <w:r>
        <w:t xml:space="preserve">XLVII Зографских чтений (2026) с опубликованным составом ее программы показывает, что</w:t>
      </w:r>
      <w:r>
        <w:t xml:space="preserve"> </w:t>
      </w:r>
      <w:r>
        <w:t xml:space="preserve">критерий «профильных академических учреждений» не может быть проверен из самой</w:t>
      </w:r>
      <w:r>
        <w:t xml:space="preserve"> </w:t>
      </w:r>
      <w:r>
        <w:t xml:space="preserve">программы: 41 из 60 участников (68%) ни разу за все годы участия не указывали в</w:t>
      </w:r>
      <w:r>
        <w:t xml:space="preserve"> </w:t>
      </w:r>
      <w:r>
        <w:t xml:space="preserve">программе никакого учреждения — только город.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Зографские чтения, Рериховские чтения, российская индология,</w:t>
      </w:r>
      <w:r>
        <w:t xml:space="preserve"> </w:t>
      </w:r>
      <w:r>
        <w:t xml:space="preserve">просопография, наукометрия, цифровые гуманитарные науки, ретроспективный анализ.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article presents a retrospective quantitative analysis of two long-running public</w:t>
      </w:r>
      <w:r>
        <w:t xml:space="preserve"> </w:t>
      </w:r>
      <w:r>
        <w:t xml:space="preserve">conference venues of Russian Indology — the Zograf Readings (St. Petersburg, since 1980, formally named</w:t>
      </w:r>
      <w:r>
        <w:t xml:space="preserve"> </w:t>
      </w:r>
      <w:r>
        <w:t xml:space="preserve">since 1994) and the Roerich Readings (Moscow, since 1960) — for the period for which</w:t>
      </w:r>
      <w:r>
        <w:t xml:space="preserve"> </w:t>
      </w:r>
      <w:r>
        <w:t xml:space="preserve">comparable participant data could be assembled: 2004–2026. From a normalised relational</w:t>
      </w:r>
      <w:r>
        <w:t xml:space="preserve"> </w:t>
      </w:r>
      <w:r>
        <w:t xml:space="preserve">database of 895 catalogued talks and 220 scholars, including 837 talks through 2025</w:t>
      </w:r>
      <w:r>
        <w:t xml:space="preserve"> </w:t>
      </w:r>
      <w:r>
        <w:t xml:space="preserve">and 58 talks announced in the preliminary 2026 Zograf programme, we compute six</w:t>
      </w:r>
      <w:r>
        <w:t xml:space="preserve"> </w:t>
      </w:r>
      <w:r>
        <w:t xml:space="preserve">“closedness”</w:t>
      </w:r>
      <w:r>
        <w:t xml:space="preserve"> </w:t>
      </w:r>
      <w:r>
        <w:t xml:space="preserve">metrics (one-talk-only share, core share, Gini index, retention rate,</w:t>
      </w:r>
      <w:r>
        <w:t xml:space="preserve"> </w:t>
      </w:r>
      <w:r>
        <w:t xml:space="preserve">cohort survival, newcomer rate), compare</w:t>
      </w:r>
      <w:r>
        <w:t xml:space="preserve"> </w:t>
      </w:r>
      <w:r>
        <w:t xml:space="preserve">the thematic profiles of the two venues along four axes (discipline, period, material,</w:t>
      </w:r>
      <w:r>
        <w:t xml:space="preserve"> </w:t>
      </w:r>
      <w:r>
        <w:t xml:space="preserve">character), and confront the publicly stated participation criterion against the actual</w:t>
      </w:r>
      <w:r>
        <w:t xml:space="preserve"> </w:t>
      </w:r>
      <w:r>
        <w:t xml:space="preserve">roster. The principal finding is that the Roerich Readings, with roughly two-thirds the</w:t>
      </w:r>
      <w:r>
        <w:t xml:space="preserve"> </w:t>
      </w:r>
      <w:r>
        <w:t xml:space="preserve">unique-scholar count of the Zograf Readings, exhibit a descriptively denser core</w:t>
      </w:r>
      <w:r>
        <w:t xml:space="preserve"> </w:t>
      </w:r>
      <w:r>
        <w:t xml:space="preserve">(31.9% vs 24.0%; 25.7% for Zograf when the preliminary 2026 programme is excluded)</w:t>
      </w:r>
      <w:r>
        <w:t xml:space="preserve"> </w:t>
      </w:r>
      <w:r>
        <w:t xml:space="preserve">and a heavier thematic concentration on medieval and classical periods (74% of</w:t>
      </w:r>
      <w:r>
        <w:t xml:space="preserve"> </w:t>
      </w:r>
      <w:r>
        <w:t xml:space="preserve">talks vs 56%). The Zograf Readings retain a broader period distribution and a clear</w:t>
      </w:r>
      <w:r>
        <w:t xml:space="preserve"> </w:t>
      </w:r>
      <w:r>
        <w:t xml:space="preserve">dominance of philosophical content. A comparison of the published call for papers of</w:t>
      </w:r>
      <w:r>
        <w:t xml:space="preserve"> </w:t>
      </w:r>
      <w:r>
        <w:t xml:space="preserve">XLVII Zograf Readings (2026) with the published programme roster shows that the criterion of</w:t>
      </w:r>
      <w:r>
        <w:t xml:space="preserve"> </w:t>
      </w:r>
      <w:r>
        <w:t xml:space="preserve">“specialised academic institutions”</w:t>
      </w:r>
      <w:r>
        <w:t xml:space="preserve"> </w:t>
      </w:r>
      <w:r>
        <w:t xml:space="preserve">cannot be verified from the programme itself, since</w:t>
      </w:r>
      <w:r>
        <w:t xml:space="preserve"> </w:t>
      </w:r>
      <w:r>
        <w:t xml:space="preserve">no participant is listed with an institutional affiliation — only with a city.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Zograf Readings, Roerich Readings, Russian Indology, prosopography,</w:t>
      </w:r>
      <w:r>
        <w:t xml:space="preserve"> </w:t>
      </w:r>
      <w:r>
        <w:t xml:space="preserve">scientometrics, digital humanities, retrospective analysis.</w:t>
      </w:r>
    </w:p>
    <w:p>
      <w:r>
        <w:pict>
          <v:rect style="width:0;height:1.5pt" o:hralign="center" o:hrstd="t" o:hr="t"/>
        </w:pict>
      </w:r>
    </w:p>
    <w:bookmarkEnd w:id="10"/>
    <w:bookmarkStart w:id="11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Публично наблюдаемая конференционная жизнь российской индологии в течение последних</w:t>
      </w:r>
      <w:r>
        <w:t xml:space="preserve"> </w:t>
      </w:r>
      <w:r>
        <w:t xml:space="preserve">двадцати лет во многом сосредоточена вокруг двух регулярных научных чтений. В Санкт-Петербурге это</w:t>
      </w:r>
      <w:r>
        <w:t xml:space="preserve"> </w:t>
      </w:r>
      <w:r>
        <w:rPr>
          <w:b/>
          <w:bCs/>
        </w:rPr>
        <w:t xml:space="preserve">Зографские</w:t>
      </w:r>
      <w:r>
        <w:rPr>
          <w:b/>
          <w:bCs/>
        </w:rPr>
        <w:t xml:space="preserve"> </w:t>
      </w:r>
      <w:r>
        <w:rPr>
          <w:b/>
          <w:bCs/>
        </w:rPr>
        <w:t xml:space="preserve">чтения</w:t>
      </w:r>
      <w:r>
        <w:t xml:space="preserve">, проводимые с 1980 г. в Ленинградском отделении ИВ АН СССР (позднее —</w:t>
      </w:r>
      <w:r>
        <w:t xml:space="preserve"> </w:t>
      </w:r>
      <w:r>
        <w:t xml:space="preserve">Санкт-Петербургском филиале ИВ РАН, с 2007 г. — Институте восточных рукописей РАН)</w:t>
      </w:r>
      <w:r>
        <w:t xml:space="preserve"> </w:t>
      </w:r>
      <w:r>
        <w:t xml:space="preserve">и получившие имя основателя, Г. А. Зографа, в 1994 г. В Москве это</w:t>
      </w:r>
      <w:r>
        <w:t xml:space="preserve"> </w:t>
      </w:r>
      <w:r>
        <w:rPr>
          <w:b/>
          <w:bCs/>
        </w:rPr>
        <w:t xml:space="preserve">Рериховские</w:t>
      </w:r>
      <w:r>
        <w:rPr>
          <w:b/>
          <w:bCs/>
        </w:rPr>
        <w:t xml:space="preserve"> </w:t>
      </w:r>
      <w:r>
        <w:rPr>
          <w:b/>
          <w:bCs/>
        </w:rPr>
        <w:t xml:space="preserve">чтения</w:t>
      </w:r>
      <w:r>
        <w:t xml:space="preserve">, ежегодные с 1960 г., посвященные памяти Ю. Н. Рериха и проводимые</w:t>
      </w:r>
      <w:r>
        <w:t xml:space="preserve"> </w:t>
      </w:r>
      <w:r>
        <w:t xml:space="preserve">Институтом востоковедения РАН.</w:t>
      </w:r>
    </w:p>
    <w:p>
      <w:pPr>
        <w:pStyle w:val="BodyText"/>
      </w:pPr>
      <w:r>
        <w:t xml:space="preserve">Обе площадки являются открытыми научными собраниями: участие бесплатное, заявки</w:t>
      </w:r>
      <w:r>
        <w:t xml:space="preserve"> </w:t>
      </w:r>
      <w:r>
        <w:t xml:space="preserve">принимаются без формального рецензирования, программа объявляется оргкомитетом.</w:t>
      </w:r>
    </w:p>
    <w:p>
      <w:pPr>
        <w:pStyle w:val="BodyText"/>
      </w:pPr>
      <w:r>
        <w:rPr>
          <w:b/>
          <w:bCs/>
        </w:rPr>
        <w:t xml:space="preserve">Организационная преемственность.</w:t>
      </w:r>
      <w:r>
        <w:t xml:space="preserve"> </w:t>
      </w:r>
      <w:r>
        <w:t xml:space="preserve">В Рериховских чтениях руководящая роль на</w:t>
      </w:r>
      <w:r>
        <w:t xml:space="preserve"> </w:t>
      </w:r>
      <w:r>
        <w:t xml:space="preserve">протяжении многих лет принадлежала В. В. Вертоградовой (род. 1933), долгое время</w:t>
      </w:r>
      <w:r>
        <w:t xml:space="preserve"> </w:t>
      </w:r>
      <w:r>
        <w:t xml:space="preserve">определявшей программу; после ее отхода от непосредственного руководства эту роль фактически наследовали ведущие</w:t>
      </w:r>
      <w:r>
        <w:t xml:space="preserve"> </w:t>
      </w:r>
      <w:r>
        <w:t xml:space="preserve">сотрудники Отдела истории и культуры Древнего Востока ИВ РАН. В Зографских чтениях</w:t>
      </w:r>
      <w:r>
        <w:t xml:space="preserve"> </w:t>
      </w:r>
      <w:r>
        <w:t xml:space="preserve">до 2024 г. включительно руководящую роль исполнял Я. В. Васильков; с 2025 г.</w:t>
      </w:r>
      <w:r>
        <w:t xml:space="preserve"> </w:t>
      </w:r>
      <w:r>
        <w:t xml:space="preserve">ответственность за программу перешла к М. Ф. Альбедиль и В. П. Иванову, что совпало</w:t>
      </w:r>
      <w:r>
        <w:t xml:space="preserve"> </w:t>
      </w:r>
      <w:r>
        <w:t xml:space="preserve">по времени с появлением в анонсах оргкомитета новых формулировок об академическом</w:t>
      </w:r>
      <w:r>
        <w:t xml:space="preserve"> </w:t>
      </w:r>
      <w:r>
        <w:t xml:space="preserve">характере состава участников (см. раздел 5).</w:t>
      </w:r>
    </w:p>
    <w:p>
      <w:pPr>
        <w:pStyle w:val="BodyText"/>
      </w:pPr>
      <w:r>
        <w:rPr>
          <w:b/>
          <w:bCs/>
        </w:rPr>
        <w:t xml:space="preserve">Календарная привязка.</w:t>
      </w:r>
      <w:r>
        <w:t xml:space="preserve"> </w:t>
      </w:r>
      <w:r>
        <w:t xml:space="preserve">Зографские чтения традиционно проходят во второй половине</w:t>
      </w:r>
      <w:r>
        <w:t xml:space="preserve"> </w:t>
      </w:r>
      <w:r>
        <w:t xml:space="preserve">мая, обычно занимая три–четыре дня (с понедельника или вторника по пятницу).</w:t>
      </w:r>
      <w:r>
        <w:t xml:space="preserve"> </w:t>
      </w:r>
      <w:r>
        <w:t xml:space="preserve">Рериховские чтения — в первой–второй декаде декабря, обычно три дня. Развернутая</w:t>
      </w:r>
      <w:r>
        <w:t xml:space="preserve"> </w:t>
      </w:r>
      <w:r>
        <w:t xml:space="preserve">программа обоих чтений становится публично доступной, как правило, лишь за несколько</w:t>
      </w:r>
      <w:r>
        <w:t xml:space="preserve"> </w:t>
      </w:r>
      <w:r>
        <w:t xml:space="preserve">дней до их начала; до этого срока публикуется только анонс с темой и основными</w:t>
      </w:r>
      <w:r>
        <w:t xml:space="preserve"> </w:t>
      </w:r>
      <w:r>
        <w:t xml:space="preserve">площадками. Это обстоятельство, при формальной открытости конференций, затрудняет</w:t>
      </w:r>
      <w:r>
        <w:t xml:space="preserve"> </w:t>
      </w:r>
      <w:r>
        <w:t xml:space="preserve">независимое наблюдение и работу в режиме вольнослушателя для тех, кто не входит в</w:t>
      </w:r>
      <w:r>
        <w:t xml:space="preserve"> </w:t>
      </w:r>
      <w:r>
        <w:t xml:space="preserve">круг приглашенных.</w:t>
      </w:r>
    </w:p>
    <w:p>
      <w:pPr>
        <w:pStyle w:val="BodyText"/>
      </w:pPr>
      <w:r>
        <w:t xml:space="preserve">Несмотря на регулярность и значительный совокупный объем — за два десятилетия в обеих</w:t>
      </w:r>
      <w:r>
        <w:t xml:space="preserve"> </w:t>
      </w:r>
      <w:r>
        <w:t xml:space="preserve">конференциях, по нашим данным, в корпус вошли</w:t>
      </w:r>
      <w:r>
        <w:t xml:space="preserve"> </w:t>
      </w:r>
      <w:r>
        <w:rPr>
          <w:b/>
          <w:bCs/>
        </w:rPr>
        <w:t xml:space="preserve">220 уникальных ученых и 895</w:t>
      </w:r>
      <w:r>
        <w:rPr>
          <w:b/>
          <w:bCs/>
        </w:rPr>
        <w:t xml:space="preserve"> </w:t>
      </w:r>
      <w:r>
        <w:rPr>
          <w:b/>
          <w:bCs/>
        </w:rPr>
        <w:t xml:space="preserve">докладов</w:t>
      </w:r>
      <w:r>
        <w:t xml:space="preserve"> </w:t>
      </w:r>
      <w:r>
        <w:t xml:space="preserve">(837 состоявшихся по 2025 г. и 58 заявленных в предварительной программе</w:t>
      </w:r>
      <w:r>
        <w:t xml:space="preserve"> </w:t>
      </w:r>
      <w:r>
        <w:t xml:space="preserve">2026 г.), — систематической ретроспективной оценки их состава, тематики и динамики</w:t>
      </w:r>
      <w:r>
        <w:t xml:space="preserve"> </w:t>
      </w:r>
      <w:r>
        <w:t xml:space="preserve">до сих пор не предпринималось. Существующие хроники, появлявшиеся в «Письменных</w:t>
      </w:r>
      <w:r>
        <w:t xml:space="preserve"> </w:t>
      </w:r>
      <w:r>
        <w:t xml:space="preserve">памятниках Востока» и других периодических изданиях, как правило, ограничивались</w:t>
      </w:r>
      <w:r>
        <w:t xml:space="preserve"> </w:t>
      </w:r>
      <w:r>
        <w:t xml:space="preserve">описанием одного года и не ставили сравнительной задачи.</w:t>
      </w:r>
    </w:p>
    <w:p>
      <w:pPr>
        <w:pStyle w:val="BodyText"/>
      </w:pPr>
      <w:r>
        <w:t xml:space="preserve">Настоящая статья имеет три цели. Во-первых, дать сводный количественный портрет двух</w:t>
      </w:r>
      <w:r>
        <w:t xml:space="preserve"> </w:t>
      </w:r>
      <w:r>
        <w:t xml:space="preserve">чтений за двадцать лет. Во-вторых, проверить тезис о том, что одна из площадок —</w:t>
      </w:r>
      <w:r>
        <w:t xml:space="preserve"> </w:t>
      </w:r>
      <w:r>
        <w:t xml:space="preserve">Рериховские чтения — функционирует как «закрытый клуб», устойчивое ядро которого</w:t>
      </w:r>
      <w:r>
        <w:t xml:space="preserve"> </w:t>
      </w:r>
      <w:r>
        <w:t xml:space="preserve">мало проницаемо для внешних участников, тогда как Зографские чтения долгое время</w:t>
      </w:r>
      <w:r>
        <w:t xml:space="preserve"> </w:t>
      </w:r>
      <w:r>
        <w:t xml:space="preserve">сохраняли черты межинституциональной открытой площадки. В-третьих, рассмотреть</w:t>
      </w:r>
      <w:r>
        <w:t xml:space="preserve"> </w:t>
      </w:r>
      <w:r>
        <w:t xml:space="preserve">формулировку критериев включения, гласно заявленную организаторами XLVII Зографских</w:t>
      </w:r>
      <w:r>
        <w:t xml:space="preserve"> </w:t>
      </w:r>
      <w:r>
        <w:t xml:space="preserve">чтений 2026 г., и сопоставить ее с опубликованным составом этой программы.</w:t>
      </w:r>
    </w:p>
    <w:p>
      <w:pPr>
        <w:pStyle w:val="BodyText"/>
      </w:pPr>
      <w:r>
        <w:t xml:space="preserve">Автор настоящей статьи сам неоднократно выступал на обеих площадках (2006–2024 гг.)</w:t>
      </w:r>
      <w:r>
        <w:t xml:space="preserve"> </w:t>
      </w:r>
      <w:r>
        <w:t xml:space="preserve">и потому имеет личный исследовательский интерес к структуре академической среды, в</w:t>
      </w:r>
      <w:r>
        <w:t xml:space="preserve"> </w:t>
      </w:r>
      <w:r>
        <w:t xml:space="preserve">которой он работает. Это обстоятельство мы оговариваем явно: оно повлияло на выбор</w:t>
      </w:r>
      <w:r>
        <w:t xml:space="preserve"> </w:t>
      </w:r>
      <w:r>
        <w:t xml:space="preserve">вопросов, но не на интерпретацию данных, которые публикуются в полном виде в</w:t>
      </w:r>
      <w:r>
        <w:t xml:space="preserve"> </w:t>
      </w:r>
      <w:r>
        <w:t xml:space="preserve">приложениях. Все выводы на основе количественных данных могут быть независимо</w:t>
      </w:r>
      <w:r>
        <w:t xml:space="preserve"> </w:t>
      </w:r>
      <w:r>
        <w:t xml:space="preserve">воспроизведены.</w:t>
      </w:r>
    </w:p>
    <w:bookmarkEnd w:id="11"/>
    <w:bookmarkStart w:id="15" w:name="источниковая-база-и-метод"/>
    <w:p>
      <w:pPr>
        <w:pStyle w:val="Heading2"/>
      </w:pPr>
      <w:r>
        <w:t xml:space="preserve">2. Источниковая база и метод</w:t>
      </w:r>
    </w:p>
    <w:bookmarkStart w:id="12" w:name="база-данных"/>
    <w:p>
      <w:pPr>
        <w:pStyle w:val="Heading3"/>
      </w:pPr>
      <w:r>
        <w:t xml:space="preserve">2.1. База данных</w:t>
      </w:r>
    </w:p>
    <w:p>
      <w:pPr>
        <w:pStyle w:val="FirstParagraph"/>
      </w:pPr>
      <w:r>
        <w:t xml:space="preserve">Источниковой базой исследования является нормализованная база, построенная по программам</w:t>
      </w:r>
      <w:r>
        <w:t xml:space="preserve"> </w:t>
      </w:r>
      <w:r>
        <w:t xml:space="preserve">обеих конференций, размещенным на сайтах ИВР РАН (Зографские чтения) и ИВ РАН</w:t>
      </w:r>
      <w:r>
        <w:t xml:space="preserve"> </w:t>
      </w:r>
      <w:r>
        <w:t xml:space="preserve">(Рериховские чтения). Программы кэшированы локально и обрабатываются автоматически,</w:t>
      </w:r>
      <w:r>
        <w:t xml:space="preserve"> </w:t>
      </w:r>
      <w:r>
        <w:t xml:space="preserve">извлекающим участников, доклады, секции, дни и площадки. База содержит: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события Зографских чтений</w:t>
      </w:r>
      <w:r>
        <w:t xml:space="preserve"> </w:t>
      </w:r>
      <w:r>
        <w:t xml:space="preserve">в базе (2004, 2006–2026, кроме 2005 и неполных</w:t>
      </w:r>
      <w:r>
        <w:t xml:space="preserve"> </w:t>
      </w:r>
      <w:r>
        <w:t xml:space="preserve">лет), из них 17 событий имеют извлеченные доклады;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18 событий Рериховских чтений</w:t>
      </w:r>
      <w:r>
        <w:t xml:space="preserve"> </w:t>
      </w:r>
      <w:r>
        <w:t xml:space="preserve">в базе (2007–2010, 2012–2025; с устойчивым</w:t>
      </w:r>
      <w:r>
        <w:t xml:space="preserve"> </w:t>
      </w:r>
      <w:r>
        <w:t xml:space="preserve">годовым шагом начиная с 2012 г.), из них 13 событий имеют извлеченные доклады;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220 уникальных ученых</w:t>
      </w:r>
      <w:r>
        <w:t xml:space="preserve"> </w:t>
      </w:r>
      <w:r>
        <w:t xml:space="preserve">после нормализации;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895 включенных в корпус докладов</w:t>
      </w:r>
      <w:r>
        <w:t xml:space="preserve">, из которых 540 на Зографских и 355 на</w:t>
      </w:r>
      <w:r>
        <w:t xml:space="preserve"> </w:t>
      </w:r>
      <w:r>
        <w:t xml:space="preserve">Рериховских чтениях;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142 дня заседаний</w:t>
      </w:r>
      <w:r>
        <w:t xml:space="preserve"> </w:t>
      </w:r>
      <w:r>
        <w:t xml:space="preserve">и более 200 сессий.</w:t>
      </w:r>
    </w:p>
    <w:p>
      <w:pPr>
        <w:pStyle w:val="FirstParagraph"/>
      </w:pPr>
      <w:r>
        <w:t xml:space="preserve">Программа XLVII Зографских чтений 2026 г. на момент подготовки настоящей версии</w:t>
      </w:r>
      <w:r>
        <w:t xml:space="preserve"> </w:t>
      </w:r>
      <w:r>
        <w:t xml:space="preserve">(22 мая 2026 г.) еще относится к будущему событию: она включена по предварительной</w:t>
      </w:r>
      <w:r>
        <w:t xml:space="preserve"> </w:t>
      </w:r>
      <w:r>
        <w:t xml:space="preserve">публикации оргкомитета и охватывает 58 заявленных докладов 60 участников. Поэтому</w:t>
      </w:r>
      <w:r>
        <w:t xml:space="preserve"> </w:t>
      </w:r>
      <w:r>
        <w:t xml:space="preserve">все показатели, зависящие от будущей возвращаемости этих участников, ниже читаются</w:t>
      </w:r>
      <w:r>
        <w:t xml:space="preserve"> </w:t>
      </w:r>
      <w:r>
        <w:t xml:space="preserve">как предварительные и проверяются через сопоставление с корпусом по 2025 г.</w:t>
      </w:r>
    </w:p>
    <w:bookmarkEnd w:id="12"/>
    <w:bookmarkStart w:id="13" w:name="нормализация-и-идентификация"/>
    <w:p>
      <w:pPr>
        <w:pStyle w:val="Heading3"/>
      </w:pPr>
      <w:r>
        <w:t xml:space="preserve">2.2. Нормализация и идентификация</w:t>
      </w:r>
    </w:p>
    <w:p>
      <w:pPr>
        <w:pStyle w:val="FirstParagraph"/>
      </w:pPr>
      <w:r>
        <w:t xml:space="preserve">Существенная техническая задача — сопоставление одного и того же ученого, заявленного</w:t>
      </w:r>
      <w:r>
        <w:t xml:space="preserve"> </w:t>
      </w:r>
      <w:r>
        <w:t xml:space="preserve">в разные годы под разными формами имени («В. В. Вертоградова», «Вертоградова Виктория</w:t>
      </w:r>
      <w:r>
        <w:t xml:space="preserve"> </w:t>
      </w:r>
      <w:r>
        <w:t xml:space="preserve">Викторовна», «Victoria Vertogradova»). Нормализация выполняется на основе правил,</w:t>
      </w:r>
      <w:r>
        <w:t xml:space="preserve"> </w:t>
      </w:r>
      <w:r>
        <w:t xml:space="preserve">сводящих все варианты к каноническому ключу «фамилия инициалы», после чего происходит</w:t>
      </w:r>
      <w:r>
        <w:t xml:space="preserve"> </w:t>
      </w:r>
      <w:r>
        <w:t xml:space="preserve">автоматическое слияние записей. Спорные случаи разрешены вручную.</w:t>
      </w:r>
    </w:p>
    <w:p>
      <w:pPr>
        <w:pStyle w:val="BodyText"/>
      </w:pPr>
      <w:r>
        <w:t xml:space="preserve">Тематическое кодирование докладов выполнено в два прохода. На первом проходе по</w:t>
      </w:r>
      <w:r>
        <w:t xml:space="preserve"> </w:t>
      </w:r>
      <w:r>
        <w:t xml:space="preserve">ключевым словам каждому заголовку были присвоены предварительные метки по четырем</w:t>
      </w:r>
      <w:r>
        <w:t xml:space="preserve"> </w:t>
      </w:r>
      <w:r>
        <w:t xml:space="preserve">осям: дисциплина (L1), период (L2), материал (L3) и характер доклада (L4). На втором</w:t>
      </w:r>
      <w:r>
        <w:t xml:space="preserve"> </w:t>
      </w:r>
      <w:r>
        <w:t xml:space="preserve">проходе спорные случаи были перекодированы методами автоматизированной разметки и</w:t>
      </w:r>
      <w:r>
        <w:t xml:space="preserve"> </w:t>
      </w:r>
      <w:r>
        <w:t xml:space="preserve">выборочно проверены автором.</w:t>
      </w:r>
    </w:p>
    <w:bookmarkEnd w:id="13"/>
    <w:bookmarkStart w:id="14" w:name="оговорки-и-ограничения"/>
    <w:p>
      <w:pPr>
        <w:pStyle w:val="Heading3"/>
      </w:pPr>
      <w:r>
        <w:t xml:space="preserve">2.3. Оговорки и ограничения</w:t>
      </w:r>
    </w:p>
    <w:p>
      <w:pPr>
        <w:pStyle w:val="FirstParagraph"/>
      </w:pPr>
      <w:r>
        <w:t xml:space="preserve">Принципиальные ограничения.</w:t>
      </w:r>
      <w:r>
        <w:t xml:space="preserve"> </w:t>
      </w:r>
      <w:r>
        <w:rPr>
          <w:b/>
          <w:bCs/>
        </w:rPr>
        <w:t xml:space="preserve">Во-первых,</w:t>
      </w:r>
      <w:r>
        <w:t xml:space="preserve"> </w:t>
      </w:r>
      <w:r>
        <w:t xml:space="preserve">хотя в архивной базе полностью восстановлены биографические годы рождения для всех 220 уникальных участников (что устраняет селективные смещения выборки, см. раздел 7), мы по-прежнему ограничены источниковедческими факторами.</w:t>
      </w:r>
      <w:r>
        <w:t xml:space="preserve"> </w:t>
      </w:r>
      <w:r>
        <w:rPr>
          <w:b/>
          <w:bCs/>
        </w:rPr>
        <w:t xml:space="preserve">Во-вторых,</w:t>
      </w:r>
      <w:r>
        <w:t xml:space="preserve"> </w:t>
      </w:r>
      <w:r>
        <w:t xml:space="preserve">программы</w:t>
      </w:r>
      <w:r>
        <w:t xml:space="preserve"> </w:t>
      </w:r>
      <w:r>
        <w:t xml:space="preserve">2022 г. для Зографских чтений содержат лакуны в названиях докладов (26 случаев с</w:t>
      </w:r>
      <w:r>
        <w:t xml:space="preserve"> </w:t>
      </w:r>
      <w:r>
        <w:t xml:space="preserve">сокращенными или пустыми заголовками), что затрудняет тематическую разметку именно</w:t>
      </w:r>
      <w:r>
        <w:t xml:space="preserve"> </w:t>
      </w:r>
      <w:r>
        <w:t xml:space="preserve">этого года.</w:t>
      </w:r>
      <w:r>
        <w:t xml:space="preserve"> </w:t>
      </w:r>
      <w:r>
        <w:rPr>
          <w:b/>
          <w:bCs/>
        </w:rPr>
        <w:t xml:space="preserve">В-третьих,</w:t>
      </w:r>
      <w:r>
        <w:t xml:space="preserve"> </w:t>
      </w:r>
      <w:r>
        <w:t xml:space="preserve">ученые степени и места защиты диссертаций в базе пока</w:t>
      </w:r>
      <w:r>
        <w:t xml:space="preserve"> </w:t>
      </w:r>
      <w:r>
        <w:t xml:space="preserve">размечены не для всех; вопрос о научных связях между поколениями (например, об</w:t>
      </w:r>
      <w:r>
        <w:t xml:space="preserve"> </w:t>
      </w:r>
      <w:r>
        <w:t xml:space="preserve">учениках А. В. Парибка — Е. А. Десницкой, Е. О. Кузиной и др.) мы затрагиваем лишь</w:t>
      </w:r>
      <w:r>
        <w:t xml:space="preserve"> </w:t>
      </w:r>
      <w:r>
        <w:t xml:space="preserve">эпизодически, не претендуя на сводный портрет научных школ.</w:t>
      </w:r>
      <w:r>
        <w:t xml:space="preserve"> </w:t>
      </w:r>
      <w:r>
        <w:rPr>
          <w:b/>
          <w:bCs/>
        </w:rPr>
        <w:t xml:space="preserve">В-четвертых,</w:t>
      </w:r>
      <w:r>
        <w:t xml:space="preserve"> </w:t>
      </w:r>
      <w:r>
        <w:t xml:space="preserve">включение</w:t>
      </w:r>
      <w:r>
        <w:t xml:space="preserve"> </w:t>
      </w:r>
      <w:r>
        <w:t xml:space="preserve">предварительной программы 2026 г. создает правое цензурирование для метрик возвращаемости:</w:t>
      </w:r>
      <w:r>
        <w:t xml:space="preserve"> </w:t>
      </w:r>
      <w:r>
        <w:t xml:space="preserve">участники, впервые появившиеся в 2026 г., еще не имели возможности вернуться в корпус.</w:t>
      </w:r>
      <w:r>
        <w:t xml:space="preserve"> </w:t>
      </w:r>
      <w:r>
        <w:t xml:space="preserve">Поэтому для ключевых просопографических выводов ниже указывается, меняется ли картина</w:t>
      </w:r>
      <w:r>
        <w:t xml:space="preserve"> </w:t>
      </w:r>
      <w:r>
        <w:t xml:space="preserve">при отсечении данных по 2025 г.</w:t>
      </w:r>
      <w:r>
        <w:t xml:space="preserve"> </w:t>
      </w:r>
      <w:r>
        <w:rPr>
          <w:b/>
          <w:bCs/>
        </w:rPr>
        <w:t xml:space="preserve">В-пятых,</w:t>
      </w:r>
      <w:r>
        <w:t xml:space="preserve"> </w:t>
      </w:r>
      <w:r>
        <w:t xml:space="preserve">разметка «онлайн / очно» возможна только</w:t>
      </w:r>
      <w:r>
        <w:t xml:space="preserve"> </w:t>
      </w:r>
      <w:r>
        <w:t xml:space="preserve">для тех докладов, в строке которых явно указан соответствующий маркер; это дает нижнюю</w:t>
      </w:r>
      <w:r>
        <w:t xml:space="preserve"> </w:t>
      </w:r>
      <w:r>
        <w:t xml:space="preserve">границу доли онлайн-участия.</w:t>
      </w:r>
    </w:p>
    <w:p>
      <w:pPr>
        <w:pStyle w:val="BodyText"/>
      </w:pPr>
      <w:r>
        <w:t xml:space="preserve">Отдельно следует различать опубликованную программу и фактически состоявшийся ход</w:t>
      </w:r>
      <w:r>
        <w:t xml:space="preserve"> </w:t>
      </w:r>
      <w:r>
        <w:t xml:space="preserve">заседания. Программа фиксирует заявленное административное состояние расписания на</w:t>
      </w:r>
      <w:r>
        <w:t xml:space="preserve"> </w:t>
      </w:r>
      <w:r>
        <w:t xml:space="preserve">момент публикации, но не гарантирует, что каждый доклад был прочитан именно в</w:t>
      </w:r>
      <w:r>
        <w:t xml:space="preserve"> </w:t>
      </w:r>
      <w:r>
        <w:t xml:space="preserve">указанном формате и порядке. На практике возможны переход очного доклада в</w:t>
      </w:r>
      <w:r>
        <w:t xml:space="preserve"> </w:t>
      </w:r>
      <w:r>
        <w:t xml:space="preserve">онлайн-режим, перестановка выступлений внутри секции, отмена доклада или неявка</w:t>
      </w:r>
      <w:r>
        <w:t xml:space="preserve"> </w:t>
      </w:r>
      <w:r>
        <w:t xml:space="preserve">докладчика; при этом публичная программа после события может не обновляться. Поэтому</w:t>
      </w:r>
      <w:r>
        <w:t xml:space="preserve"> </w:t>
      </w:r>
      <w:r>
        <w:t xml:space="preserve">записи корпуса в настоящей статье трактуются как данные о публичной программной</w:t>
      </w:r>
      <w:r>
        <w:t xml:space="preserve"> </w:t>
      </w:r>
      <w:r>
        <w:t xml:space="preserve">видимости, а не как самостоятельное доказательство фактического присутствия,</w:t>
      </w:r>
      <w:r>
        <w:t xml:space="preserve"> </w:t>
      </w:r>
      <w:r>
        <w:t xml:space="preserve">прослушивания или рецепции доклада. Такие утверждения требуют дополнительной</w:t>
      </w:r>
      <w:r>
        <w:t xml:space="preserve"> </w:t>
      </w:r>
      <w:r>
        <w:t xml:space="preserve">верификации по видеозаписям, расписаниям дня, свидетельствам участников или</w:t>
      </w:r>
      <w:r>
        <w:t xml:space="preserve"> </w:t>
      </w:r>
      <w:r>
        <w:t xml:space="preserve">протоколам заседаний.</w:t>
      </w:r>
    </w:p>
    <w:p>
      <w:pPr>
        <w:pStyle w:val="BodyText"/>
      </w:pPr>
      <w:r>
        <w:t xml:space="preserve">Есть и ограничение, связанное с внутренней нормализацией самой базы. Поле</w:t>
      </w:r>
      <w:r>
        <w:t xml:space="preserve"> </w:t>
      </w:r>
      <w:r>
        <w:rPr>
          <w:rStyle w:val="VerbatimChar"/>
        </w:rPr>
        <w:t xml:space="preserve">event.theme_ru</w:t>
      </w:r>
      <w:r>
        <w:t xml:space="preserve"> </w:t>
      </w:r>
      <w:r>
        <w:t xml:space="preserve">для Рериховских чтений в текущем виде унифицирует годовые темы и</w:t>
      </w:r>
      <w:r>
        <w:t xml:space="preserve"> </w:t>
      </w:r>
      <w:r>
        <w:t xml:space="preserve">тем самым скрывает реальные вариации подзаголовков, видимые в кэшированных HTML-</w:t>
      </w:r>
      <w:r>
        <w:t xml:space="preserve"> </w:t>
      </w:r>
      <w:r>
        <w:t xml:space="preserve">страницах программ. Поэтому проверка связи «подзаголовок программы — фактическое</w:t>
      </w:r>
      <w:r>
        <w:t xml:space="preserve"> </w:t>
      </w:r>
      <w:r>
        <w:t xml:space="preserve">содержание докладов» ниже проводится не по этому полю, а по извлеченным из HTML</w:t>
      </w:r>
      <w:r>
        <w:t xml:space="preserve"> </w:t>
      </w:r>
      <w:r>
        <w:t xml:space="preserve">заголовкам программ. Аналогично, сведения о видеозаписях и PDF-источниках пока</w:t>
      </w:r>
      <w:r>
        <w:t xml:space="preserve"> </w:t>
      </w:r>
      <w:r>
        <w:t xml:space="preserve">имеют разный уровень привязки: видеозаписи в части случаев связаны с отдельными</w:t>
      </w:r>
      <w:r>
        <w:t xml:space="preserve"> </w:t>
      </w:r>
      <w:r>
        <w:t xml:space="preserve">докладами, тогда как PDF-источники в базе связаны прежде всего с публикационными</w:t>
      </w:r>
      <w:r>
        <w:t xml:space="preserve"> </w:t>
      </w:r>
      <w:r>
        <w:t xml:space="preserve">постами, а не с конкретными докладами.</w:t>
      </w:r>
    </w:p>
    <w:bookmarkEnd w:id="14"/>
    <w:bookmarkEnd w:id="15"/>
    <w:bookmarkStart w:id="21" w:name="объемные-показатели-за-двадцать-лет"/>
    <w:p>
      <w:pPr>
        <w:pStyle w:val="Heading2"/>
      </w:pPr>
      <w:r>
        <w:t xml:space="preserve">3. Объемные показатели за двадцать лет</w:t>
      </w:r>
    </w:p>
    <w:bookmarkStart w:id="16" w:name="общая-картина"/>
    <w:p>
      <w:pPr>
        <w:pStyle w:val="Heading3"/>
      </w:pPr>
      <w:r>
        <w:t xml:space="preserve">3.1. Общая картина</w:t>
      </w:r>
    </w:p>
    <w:p>
      <w:pPr>
        <w:pStyle w:val="FirstParagraph"/>
      </w:pPr>
      <w:r>
        <w:t xml:space="preserve">В корпус за период 2004–2026 гг. включены</w:t>
      </w:r>
      <w:r>
        <w:t xml:space="preserve"> </w:t>
      </w:r>
      <w:r>
        <w:rPr>
          <w:b/>
          <w:bCs/>
        </w:rPr>
        <w:t xml:space="preserve">895 докладов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220 ученых</w:t>
      </w:r>
      <w:r>
        <w:t xml:space="preserve">: 837</w:t>
      </w:r>
      <w:r>
        <w:t xml:space="preserve"> </w:t>
      </w:r>
      <w:r>
        <w:t xml:space="preserve">докладов относятся к уже состоявшимся событиям по 2025 г., еще 58 — к предварительной</w:t>
      </w:r>
      <w:r>
        <w:t xml:space="preserve"> </w:t>
      </w:r>
      <w:r>
        <w:t xml:space="preserve">программе XLVII Зографских чтений 2026 г. Распределение по площадкам асимметрично:</w:t>
      </w:r>
      <w:r>
        <w:t xml:space="preserve"> </w:t>
      </w:r>
      <w:r>
        <w:t xml:space="preserve">на Зографских чтениях по 22 событийным записям в базе (17 с извлеченными докладами)</w:t>
      </w:r>
      <w:r>
        <w:t xml:space="preserve"> </w:t>
      </w:r>
      <w:r>
        <w:t xml:space="preserve">зафиксировано 167 ученых с 540 докладами, на Рериховских за 18 событийных записей</w:t>
      </w:r>
      <w:r>
        <w:t xml:space="preserve"> </w:t>
      </w:r>
      <w:r>
        <w:t xml:space="preserve">(13 с извлеченными докладами) — 91 ученый с 355 докладами.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Зографские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Рериховские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Событийных записей в базе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 с извлеченными докладами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Лет покрытия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2004–2026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ученых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докладов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Докладов на событие с извлеченными докладами,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Ученых в обеих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</w:tbl>
    <w:p>
      <w:pPr>
        <w:pStyle w:val="BodyText"/>
      </w:pPr>
      <w:r>
        <w:t xml:space="preserve">Различение двух строк важно: в базе сохраняются и событийные записи без извлеченных</w:t>
      </w:r>
      <w:r>
        <w:t xml:space="preserve"> </w:t>
      </w:r>
      <w:r>
        <w:t xml:space="preserve">докладов, поскольку они фиксируют лакуны источника, а не нулевую активность чтений.</w:t>
      </w:r>
    </w:p>
    <w:p>
      <w:pPr>
        <w:pStyle w:val="BodyText"/>
      </w:pPr>
      <w:r>
        <w:t xml:space="preserve">Из совокупных 220 ученых</w:t>
      </w:r>
      <w:r>
        <w:t xml:space="preserve"> </w:t>
      </w:r>
      <w:r>
        <w:rPr>
          <w:b/>
          <w:bCs/>
        </w:rPr>
        <w:t xml:space="preserve">38 (17.3%) выступали на обеих площадках</w:t>
      </w:r>
      <w:r>
        <w:t xml:space="preserve">, образуя пересекающуюся</w:t>
      </w:r>
      <w:r>
        <w:t xml:space="preserve"> </w:t>
      </w:r>
      <w:r>
        <w:t xml:space="preserve">когорту, которой посвящен раздел 9. Само по себе это число еще не говорит об изоляции:</w:t>
      </w:r>
      <w:r>
        <w:t xml:space="preserve"> </w:t>
      </w:r>
      <w:r>
        <w:t xml:space="preserve">при наблюдаемой активности участников часть из них пересекла бы границу двух чтений и</w:t>
      </w:r>
      <w:r>
        <w:t xml:space="preserve"> </w:t>
      </w:r>
      <w:r>
        <w:t xml:space="preserve">случайно. Однако формальная проверка (приложение Г, раздел Г.1) показывает, что случайное</w:t>
      </w:r>
      <w:r>
        <w:t xml:space="preserve"> </w:t>
      </w:r>
      <w:r>
        <w:t xml:space="preserve">распределение той же активности дало бы около 104 «общих» ученых, тогда как фактически</w:t>
      </w:r>
      <w:r>
        <w:t xml:space="preserve"> </w:t>
      </w:r>
      <w:r>
        <w:t xml:space="preserve">их лишь 38 — более чем на восемнадцать стандартных отклонений ниже ожидаемого. Иными</w:t>
      </w:r>
      <w:r>
        <w:t xml:space="preserve"> </w:t>
      </w:r>
      <w:r>
        <w:t xml:space="preserve">словами, две дисциплинарно родственные площадки в одной стране образуют два в значительной</w:t>
      </w:r>
      <w:r>
        <w:t xml:space="preserve"> </w:t>
      </w:r>
      <w:r>
        <w:t xml:space="preserve">мере обособленных круга, и эта обособленность существенно сильнее случайной.</w:t>
      </w:r>
    </w:p>
    <w:bookmarkEnd w:id="16"/>
    <w:bookmarkStart w:id="20" w:name="динамика-по-годам"/>
    <w:p>
      <w:pPr>
        <w:pStyle w:val="Heading3"/>
      </w:pPr>
      <w:r>
        <w:t xml:space="preserve">3.2. Динамика по годам</w:t>
      </w:r>
    </w:p>
    <w:p>
      <w:pPr>
        <w:pStyle w:val="FirstParagraph"/>
      </w:pPr>
      <w:r>
        <w:t xml:space="preserve">Объемная динамика обеих площадок параллельна, но с разной фазой максимума. Зографские</w:t>
      </w:r>
      <w:r>
        <w:t xml:space="preserve"> </w:t>
      </w:r>
      <w:r>
        <w:t xml:space="preserve">чтения достигают пика в 2018–2022 гг. (37–47 докладов в год), Рериховские — в</w:t>
      </w:r>
      <w:r>
        <w:t xml:space="preserve"> </w:t>
      </w:r>
      <w:r>
        <w:t xml:space="preserve">2017–2019 гг. (30–34 в год). На обеих площадках виден провал 2020 г. (COVID-19),</w:t>
      </w:r>
      <w:r>
        <w:t xml:space="preserve"> </w:t>
      </w:r>
      <w:r>
        <w:t xml:space="preserve">причем в Зографских чтениях этого года конференция явно объявлена «в режиме интернет-</w:t>
      </w:r>
      <w:r>
        <w:t xml:space="preserve"> </w:t>
      </w:r>
      <w:r>
        <w:t xml:space="preserve">трансляции». Для 2024 г. на сайте ИВР РАН опубликована сокращенная версия программы</w:t>
      </w:r>
      <w:r>
        <w:t xml:space="preserve"> </w:t>
      </w:r>
      <w:r>
        <w:t xml:space="preserve">(в нашей базе зафиксировано лишь 2 доклада); полная программа этого года готовится</w:t>
      </w:r>
      <w:r>
        <w:t xml:space="preserve"> </w:t>
      </w:r>
      <w:r>
        <w:t xml:space="preserve">к включению в базу из материалов автора. К 2025–2026 гг. Зографские чтения по</w:t>
      </w:r>
      <w:r>
        <w:t xml:space="preserve"> </w:t>
      </w:r>
      <w:r>
        <w:t xml:space="preserve">предварительной программе возвращаются к масштабу 56–60 докладов, тогда как</w:t>
      </w:r>
      <w:r>
        <w:t xml:space="preserve"> </w:t>
      </w:r>
      <w:r>
        <w:t xml:space="preserve">Рериховские чтения 2025 г. фиксируются на уровне 36 докладов.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Зограф докл.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Зограф ученых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Рерих докл.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Рерих ученых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Итог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</w:t>
            </w:r>
          </w:p>
        </w:tc>
      </w:tr>
    </w:tbl>
    <w:p>
      <w:pPr>
        <w:pStyle w:val="BodyText"/>
      </w:pPr>
      <w:r>
        <w:t xml:space="preserve">(Прочерк указывает на отсутствие соответствующего события или на отсутствие данных</w:t>
      </w:r>
      <w:r>
        <w:t xml:space="preserve"> </w:t>
      </w:r>
      <w:r>
        <w:t xml:space="preserve">в выборке. Разница между числом докладов и числом ученых в отдельные годы (2016, 2017,</w:t>
      </w:r>
      <w:r>
        <w:t xml:space="preserve"> </w:t>
      </w:r>
      <w:r>
        <w:t xml:space="preserve">2020, 2024, 2026) объясняется наличием соавторских докладов. Программа 2024 г.</w:t>
      </w:r>
      <w:r>
        <w:t xml:space="preserve"> </w:t>
      </w:r>
      <w:r>
        <w:t xml:space="preserve">Зографских чтений на сайте ИВР РАН размещена сокращенно; полная программа этого</w:t>
      </w:r>
      <w:r>
        <w:t xml:space="preserve"> </w:t>
      </w:r>
      <w:r>
        <w:t xml:space="preserve">года доступна автору и будет интегрирована в базу к следующей версии настоящей статьи.)</w:t>
      </w:r>
    </w:p>
    <w:p>
      <w:pPr>
        <w:pStyle w:val="CaptionedFigure"/>
      </w:pPr>
      <w:r>
        <w:drawing>
          <wp:inline>
            <wp:extent cx="5334000" cy="3617976"/>
            <wp:effectExtent b="0" l="0" r="0" t="0"/>
            <wp:docPr descr="Рис. 1. Обновление состава: новички, ретроспективное ядро и повторные участники" title="" id="18" name="Picture"/>
            <a:graphic>
              <a:graphicData uri="http://schemas.openxmlformats.org/drawingml/2006/picture">
                <pic:pic>
                  <pic:nvPicPr>
                    <pic:cNvPr descr="figures/participant_dynamic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Обновление состава: новички, ретроспективное ядро и повторные участники</w:t>
      </w:r>
    </w:p>
    <w:p>
      <w:pPr>
        <w:pStyle w:val="BodyText"/>
      </w:pPr>
      <w:r>
        <w:t xml:space="preserve">Рис. 1 показывает, что резкие колебания доли новичков возникают не только в кризисные</w:t>
      </w:r>
      <w:r>
        <w:t xml:space="preserve"> </w:t>
      </w:r>
      <w:r>
        <w:t xml:space="preserve">годы, но и в годы изменения формата источника. Поэтому годовые всплески следует</w:t>
      </w:r>
      <w:r>
        <w:t xml:space="preserve"> </w:t>
      </w:r>
      <w:r>
        <w:t xml:space="preserve">интерпретировать осторожно: они фиксируют одновременно реальное обновление состава,</w:t>
      </w:r>
      <w:r>
        <w:t xml:space="preserve"> </w:t>
      </w:r>
      <w:r>
        <w:t xml:space="preserve">режим публикации программы, степень полноты источника и, для 2026 г., предварительный</w:t>
      </w:r>
      <w:r>
        <w:t xml:space="preserve"> </w:t>
      </w:r>
      <w:r>
        <w:t xml:space="preserve">характер еще не состоявшейся программы.</w:t>
      </w:r>
    </w:p>
    <w:bookmarkEnd w:id="20"/>
    <w:bookmarkEnd w:id="21"/>
    <w:bookmarkStart w:id="27" w:name="просопография-и-метрики-закрытости-клуба"/>
    <w:p>
      <w:pPr>
        <w:pStyle w:val="Heading2"/>
      </w:pPr>
      <w:r>
        <w:t xml:space="preserve">4. Просопография и метрики закрытости клуба</w:t>
      </w:r>
    </w:p>
    <w:p>
      <w:pPr>
        <w:pStyle w:val="FirstParagraph"/>
      </w:pPr>
      <w:r>
        <w:t xml:space="preserve">Является ли каждое из двух чтений открытой научной площадкой или закрытым клубом?</w:t>
      </w:r>
      <w:r>
        <w:t xml:space="preserve"> </w:t>
      </w:r>
      <w:r>
        <w:t xml:space="preserve">Чтобы дать содержательный ответ, мы предлагаем шесть метрик, каждая из которых</w:t>
      </w:r>
      <w:r>
        <w:t xml:space="preserve"> </w:t>
      </w:r>
      <w:r>
        <w:t xml:space="preserve">покрывает свой аспект «закрытости» (см. определения ниже). Используемые нами метрики</w:t>
      </w:r>
      <w:r>
        <w:t xml:space="preserve"> </w:t>
      </w:r>
      <w:r>
        <w:t xml:space="preserve">соотносятся с общей классификацией параметров ранжирования конференций, предложенной</w:t>
      </w:r>
      <w:r>
        <w:t xml:space="preserve"> </w:t>
      </w:r>
      <w:r>
        <w:t xml:space="preserve">в [Козицын, 2024]. Неравномерность распределения участия и необходимость использования</w:t>
      </w:r>
      <w:r>
        <w:t xml:space="preserve"> </w:t>
      </w:r>
      <w:r>
        <w:t xml:space="preserve">непосредственных («статических») параметров активности вместо цитатных метрик с долгим</w:t>
      </w:r>
      <w:r>
        <w:t xml:space="preserve"> </w:t>
      </w:r>
      <w:r>
        <w:t xml:space="preserve">цитатным лагом также согласуется с моделями кумулятивного преимущества в наукометрии [Ермолаева, 2026].</w:t>
      </w:r>
      <w:r>
        <w:t xml:space="preserve"> </w:t>
      </w:r>
      <w:r>
        <w:t xml:space="preserve">Все метрики вычислены отдельно для каждой серии и для их объединения.</w:t>
      </w:r>
    </w:p>
    <w:bookmarkStart w:id="22" w:name="шесть-метрик"/>
    <w:p>
      <w:pPr>
        <w:pStyle w:val="Heading3"/>
      </w:pPr>
      <w:r>
        <w:t xml:space="preserve">4.1. Шесть метрик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Доля разовых участников</w:t>
      </w:r>
      <w:r>
        <w:t xml:space="preserve"> </w:t>
      </w:r>
      <w:r>
        <w:t xml:space="preserve">(one-talk-only share): доля ученых, выступивших ровно</w:t>
      </w:r>
      <w:r>
        <w:t xml:space="preserve"> </w:t>
      </w:r>
      <w:r>
        <w:t xml:space="preserve">один раз за весь период. Чем выше, тем активнее площадка втягивает «случайных»</w:t>
      </w:r>
      <w:r>
        <w:t xml:space="preserve"> </w:t>
      </w:r>
      <w:r>
        <w:t xml:space="preserve">докладчиков; чем ниже, тем плотнее ядро завсегдатаев.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Доля ядра</w:t>
      </w:r>
      <w:r>
        <w:t xml:space="preserve"> </w:t>
      </w:r>
      <w:r>
        <w:t xml:space="preserve">(core share, ≥ 5 докладов): доля ученых, выступивших не менее пяти</w:t>
      </w:r>
      <w:r>
        <w:t xml:space="preserve"> </w:t>
      </w:r>
      <w:r>
        <w:t xml:space="preserve">раз. Это «несущая опора» площадки.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Индекс Джини</w:t>
      </w:r>
      <w:r>
        <w:t xml:space="preserve"> </w:t>
      </w:r>
      <w:r>
        <w:t xml:space="preserve">по числу докладов на ученого. Высокий Джини означает: участие</w:t>
      </w:r>
      <w:r>
        <w:t xml:space="preserve"> </w:t>
      </w:r>
      <w:r>
        <w:t xml:space="preserve">сконцентрировано в руках узкого круга; низкий — распределено более равномерно.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Удержание дебютантов</w:t>
      </w:r>
      <w:r>
        <w:t xml:space="preserve"> </w:t>
      </w:r>
      <w:r>
        <w:t xml:space="preserve">(retention): доля ученых, чье участие не ограничилось</w:t>
      </w:r>
      <w:r>
        <w:t xml:space="preserve"> </w:t>
      </w:r>
      <w:r>
        <w:t xml:space="preserve">дебютом — иначе говоря, вероятность повторного выступления.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Доля новичков</w:t>
      </w:r>
      <w:r>
        <w:t xml:space="preserve"> </w:t>
      </w:r>
      <w:r>
        <w:t xml:space="preserve">(newcomer share) по годам (см. приложение Б): отношение</w:t>
      </w:r>
      <w:r>
        <w:t xml:space="preserve"> </w:t>
      </w:r>
      <w:r>
        <w:t xml:space="preserve">дебютантов к общему числу выступающих в данный год.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Выживаемость когорт</w:t>
      </w:r>
      <w:r>
        <w:t xml:space="preserve"> </w:t>
      </w:r>
      <w:r>
        <w:t xml:space="preserve">(cohort survival): для каждой когорты дебютантов — какая</w:t>
      </w:r>
      <w:r>
        <w:t xml:space="preserve"> </w:t>
      </w:r>
      <w:r>
        <w:t xml:space="preserve">ее доля остается активной через N лет после дебюта.</w:t>
      </w:r>
    </w:p>
    <w:bookmarkEnd w:id="22"/>
    <w:bookmarkStart w:id="23" w:name="сводная-таблица"/>
    <w:p>
      <w:pPr>
        <w:pStyle w:val="Heading3"/>
      </w:pPr>
      <w:r>
        <w:t xml:space="preserve">4.2. Сводная таблица</w:t>
      </w:r>
    </w:p>
    <w:p>
      <w:pPr>
        <w:pStyle w:val="FirstParagraph"/>
      </w:pPr>
      <w:r>
        <w:t xml:space="preserve">В таблице ниже приведен основной расчет по всему корпусу, включая предварительную</w:t>
      </w:r>
      <w:r>
        <w:t xml:space="preserve"> </w:t>
      </w:r>
      <w:r>
        <w:t xml:space="preserve">программу Зографских чтений 2026 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Зографские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Рериховские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Объединено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ученых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Авторских участий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Разовые участники,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ядра ≥ 5 докл.,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Джини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дебютантов,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Медиана докл. на ученого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Максимум докл. у одного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Проверка чувствительности к правому цензурированию 2026 г. меняет масштаб, но не</w:t>
      </w:r>
      <w:r>
        <w:t xml:space="preserve"> </w:t>
      </w:r>
      <w:r>
        <w:t xml:space="preserve">направление различий: если считать только уже состоявшиеся события по 2025 г.,</w:t>
      </w:r>
      <w:r>
        <w:t xml:space="preserve"> </w:t>
      </w:r>
      <w:r>
        <w:t xml:space="preserve">Зографские чтения дают 148 уникальных ученых и 484 авторских участия; доля ядра</w:t>
      </w:r>
      <w:r>
        <w:t xml:space="preserve"> </w:t>
      </w:r>
      <w:r>
        <w:t xml:space="preserve">составляет 25.7%, доля разовых участников — 39.9%, удержание дебютантов — 60.1%,</w:t>
      </w:r>
      <w:r>
        <w:t xml:space="preserve"> </w:t>
      </w:r>
      <w:r>
        <w:t xml:space="preserve">индекс Джини — 0.444. Поэтому включение предварительной программы 2026 г. усиливает</w:t>
      </w:r>
      <w:r>
        <w:t xml:space="preserve"> </w:t>
      </w:r>
      <w:r>
        <w:t xml:space="preserve">контраст, но не создает его заново.</w:t>
      </w:r>
    </w:p>
    <w:bookmarkEnd w:id="23"/>
    <w:bookmarkStart w:id="24" w:name="интерпретация"/>
    <w:p>
      <w:pPr>
        <w:pStyle w:val="Heading3"/>
      </w:pPr>
      <w:r>
        <w:t xml:space="preserve">4.3. Интерпретация</w:t>
      </w:r>
    </w:p>
    <w:p>
      <w:pPr>
        <w:pStyle w:val="FirstParagraph"/>
      </w:pPr>
      <w:r>
        <w:t xml:space="preserve">Главное наблюдение раздела состоит в следующем. Несмотря на то что Рериховские</w:t>
      </w:r>
      <w:r>
        <w:t xml:space="preserve"> </w:t>
      </w:r>
      <w:r>
        <w:t xml:space="preserve">чтения формально меньше Зографских и по числу событий, и по числу уникальных</w:t>
      </w:r>
      <w:r>
        <w:t xml:space="preserve"> </w:t>
      </w:r>
      <w:r>
        <w:t xml:space="preserve">ученых (91 против 167), они показывают: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описательно более плотное ядро</w:t>
      </w:r>
      <w:r>
        <w:t xml:space="preserve"> </w:t>
      </w:r>
      <w:r>
        <w:t xml:space="preserve">(31.9% участников выступали пять и более раз</w:t>
      </w:r>
      <w:r>
        <w:t xml:space="preserve"> </w:t>
      </w:r>
      <w:r>
        <w:t xml:space="preserve">против 24.0% в Зографе во всем корпусе; при отсечении 2026 г. — 31.9% против</w:t>
      </w:r>
      <w:r>
        <w:t xml:space="preserve"> </w:t>
      </w:r>
      <w:r>
        <w:t xml:space="preserve">25.7%);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более высокое удержание дебютантов</w:t>
      </w:r>
      <w:r>
        <w:t xml:space="preserve"> </w:t>
      </w:r>
      <w:r>
        <w:t xml:space="preserve">(61.5% против 56.3% во всем корпусе;</w:t>
      </w:r>
      <w:r>
        <w:t xml:space="preserve"> </w:t>
      </w:r>
      <w:r>
        <w:t xml:space="preserve">при отсечении 2026 г. — 61.5% против 60.1%): дебют на Рериховских чтениях чаще</w:t>
      </w:r>
      <w:r>
        <w:t xml:space="preserve"> </w:t>
      </w:r>
      <w:r>
        <w:t xml:space="preserve">оборачивается продолжительным участием;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меньшую долю разовых участников</w:t>
      </w:r>
      <w:r>
        <w:t xml:space="preserve"> </w:t>
      </w:r>
      <w:r>
        <w:t xml:space="preserve">(38.5% против 43.7%).</w:t>
      </w:r>
    </w:p>
    <w:p>
      <w:pPr>
        <w:pStyle w:val="FirstParagraph"/>
      </w:pPr>
      <w:r>
        <w:t xml:space="preserve">Эти различия следует понимать прежде всего как описательные, а не как результат</w:t>
      </w:r>
      <w:r>
        <w:t xml:space="preserve"> </w:t>
      </w:r>
      <w:r>
        <w:t xml:space="preserve">строгого статистического теста на «закрытость»: при имеющемся размере выборки различия</w:t>
      </w:r>
      <w:r>
        <w:t xml:space="preserve"> </w:t>
      </w:r>
      <w:r>
        <w:t xml:space="preserve">по доле ядра (29/91 против 40/167) и по доле разовых участников (35/91 против 73/167)</w:t>
      </w:r>
      <w:r>
        <w:t xml:space="preserve"> </w:t>
      </w:r>
      <w:r>
        <w:t xml:space="preserve">не достигают общепринятого уровня значимости по точному критерию Фишера. Поэтому</w:t>
      </w:r>
      <w:r>
        <w:t xml:space="preserve"> </w:t>
      </w:r>
      <w:r>
        <w:t xml:space="preserve">корректнее говорить не о доказанном скрытом механизме отбора, а о более компактной</w:t>
      </w:r>
      <w:r>
        <w:t xml:space="preserve"> </w:t>
      </w:r>
      <w:r>
        <w:t xml:space="preserve">и лучше самовоспроизводящейся структуре Рериховских чтений.</w:t>
      </w:r>
    </w:p>
    <w:p>
      <w:pPr>
        <w:pStyle w:val="BodyText"/>
      </w:pPr>
      <w:r>
        <w:t xml:space="preserve">Индекс Джини практически идентичен у обеих площадок (0.470 и 0.461), что свидетельствует</w:t>
      </w:r>
      <w:r>
        <w:t xml:space="preserve"> </w:t>
      </w:r>
      <w:r>
        <w:t xml:space="preserve">о схожем характере концентрации, но это сходство достигается разными способами:</w:t>
      </w:r>
      <w:r>
        <w:t xml:space="preserve"> </w:t>
      </w:r>
      <w:r>
        <w:t xml:space="preserve">в Зографских чтениях концентрация распределена среди более широкого круга (167 ученых),</w:t>
      </w:r>
      <w:r>
        <w:t xml:space="preserve"> </w:t>
      </w:r>
      <w:r>
        <w:t xml:space="preserve">а в Рериховских — внутри гораздо более компактной группы (91 ученый). Эту особенность</w:t>
      </w:r>
      <w:r>
        <w:t xml:space="preserve"> </w:t>
      </w:r>
      <w:r>
        <w:t xml:space="preserve">можно интерпретировать как структурную: Рериховские чтения — конференция меньшего</w:t>
      </w:r>
      <w:r>
        <w:t xml:space="preserve"> </w:t>
      </w:r>
      <w:r>
        <w:t xml:space="preserve">сообщества, но с большей лояльностью; Зографские — площадка с большим числом случайных</w:t>
      </w:r>
      <w:r>
        <w:t xml:space="preserve"> </w:t>
      </w:r>
      <w:r>
        <w:t xml:space="preserve">докладчиков, но и с большей открытостью для них.</w:t>
      </w:r>
    </w:p>
    <w:p>
      <w:pPr>
        <w:pStyle w:val="BodyText"/>
      </w:pPr>
      <w:r>
        <w:t xml:space="preserve">Высокие показатели лояльности и удержания участников на обеих площадках (удержание дебютантов 56.3% в Зографе и 61.5% в Рериховских чтениях) выглядят примечательно на фоне институционального контекста российской науки 2010–2020-х гг. Как показывает А. В. Гринёв, в условиях доминирования наукометрического оценивания публикации в сборниках трудов и материалах отечественных конференций зачастую маргинализировались администрацией вузов, оцениваясь «жалким одним баллом» или вовсе не стимулируясь материально [Гринёв, 2019, с. 998–999]. Устойчивость ядра исследуемых чтений свидетельствует о том, что они продолжают функционировать как значимые пространства реальной содержательной деятельности и научной социализации, сохраняя свою ценность для сообщества вопреки логике бюрократических индикаторов.</w:t>
      </w:r>
    </w:p>
    <w:p>
      <w:pPr>
        <w:pStyle w:val="BodyText"/>
      </w:pPr>
      <w:r>
        <w:t xml:space="preserve">Вместе с тем формальный анализ дожития (приложение Г, раздел Г.3) не обнаруживает</w:t>
      </w:r>
      <w:r>
        <w:t xml:space="preserve"> </w:t>
      </w:r>
      <w:r>
        <w:t xml:space="preserve">значимого различия в длительности участия дебютантов двух площадок: по медианной длине</w:t>
      </w:r>
      <w:r>
        <w:t xml:space="preserve"> </w:t>
      </w:r>
      <w:r>
        <w:t xml:space="preserve">траектории Зографские чтения даже не уступают Рериховским, а старшинство Зографской</w:t>
      </w:r>
      <w:r>
        <w:t xml:space="preserve"> </w:t>
      </w:r>
      <w:r>
        <w:t xml:space="preserve">серии скорее работало бы в их пользу. Поэтому более высокое удержание на Рериховских</w:t>
      </w:r>
      <w:r>
        <w:t xml:space="preserve"> </w:t>
      </w:r>
      <w:r>
        <w:t xml:space="preserve">чтениях мы трактуем как тенденцию к повторному участию, а не как доказанно более долгие</w:t>
      </w:r>
      <w:r>
        <w:t xml:space="preserve"> </w:t>
      </w:r>
      <w:r>
        <w:t xml:space="preserve">научные траектории.</w:t>
      </w:r>
    </w:p>
    <w:p>
      <w:pPr>
        <w:pStyle w:val="BodyText"/>
      </w:pPr>
      <w:r>
        <w:t xml:space="preserve">Особое наблюдение касается того, что мы предлагаем назвать</w:t>
      </w:r>
      <w:r>
        <w:t xml:space="preserve"> </w:t>
      </w:r>
      <w:r>
        <w:rPr>
          <w:b/>
          <w:bCs/>
        </w:rPr>
        <w:t xml:space="preserve">«институциональным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ядром»</w:t>
      </w:r>
      <w:r>
        <w:t xml:space="preserve"> </w:t>
      </w:r>
      <w:r>
        <w:t xml:space="preserve">Рериховских чтений. Четыре ученых Института востоковедения РАН — В. В. Вертоградова,</w:t>
      </w:r>
      <w:r>
        <w:t xml:space="preserve"> </w:t>
      </w:r>
      <w:r>
        <w:t xml:space="preserve">Е. В. Тюлина, Е. Г. Вырщиков, А. М. Шустова — на протяжении 2012–2025 гг. имеют</w:t>
      </w:r>
      <w:r>
        <w:t xml:space="preserve"> </w:t>
      </w:r>
      <w:r>
        <w:t xml:space="preserve">непрерывную цепочку выступлений по одному в каждом году (12 событий из 12 возможных,</w:t>
      </w:r>
      <w:r>
        <w:t xml:space="preserve"> </w:t>
      </w:r>
      <w:r>
        <w:t xml:space="preserve">то есть 100% явка). К ним примыкает Ю. И. Дробышев, дебютировавший в 2015 г. и</w:t>
      </w:r>
      <w:r>
        <w:t xml:space="preserve"> </w:t>
      </w:r>
      <w:r>
        <w:t xml:space="preserve">сохраняющий ту же стопроцентную явку (11 событий из 11). Эта группа из пяти ученых</w:t>
      </w:r>
      <w:r>
        <w:t xml:space="preserve"> </w:t>
      </w:r>
      <w:r>
        <w:t xml:space="preserve">одного института функционирует как структурный центр площадки и составляет около</w:t>
      </w:r>
      <w:r>
        <w:t xml:space="preserve"> </w:t>
      </w:r>
      <w:r>
        <w:rPr>
          <w:b/>
          <w:bCs/>
        </w:rPr>
        <w:t xml:space="preserve">одного шестого всех докладов</w:t>
      </w:r>
      <w:r>
        <w:t xml:space="preserve"> </w:t>
      </w:r>
      <w:r>
        <w:t xml:space="preserve">на Рериховских чтениях за период 2012–2025 гг. — 59</w:t>
      </w:r>
      <w:r>
        <w:t xml:space="preserve"> </w:t>
      </w:r>
      <w:r>
        <w:t xml:space="preserve">докладов из 355.</w:t>
      </w:r>
    </w:p>
    <w:p>
      <w:pPr>
        <w:pStyle w:val="BodyText"/>
      </w:pPr>
      <w:r>
        <w:t xml:space="preserve">В Зографских чтениях аналогичное «несменяемое» ядро менее выражено: участники с</w:t>
      </w:r>
      <w:r>
        <w:t xml:space="preserve"> </w:t>
      </w:r>
      <w:r>
        <w:t xml:space="preserve">сопоставимо длительными цепочками выступлений присутствуют (С. И. Рыжакова — 15 докладов,</w:t>
      </w:r>
      <w:r>
        <w:t xml:space="preserve"> </w:t>
      </w:r>
      <w:r>
        <w:t xml:space="preserve">А. В. Парибок — 13, Я. В. Васильков, А. А. Игнатьев, В. Г. Лысенко, Р. В. Псху — по 12,</w:t>
      </w:r>
      <w:r>
        <w:t xml:space="preserve"> </w:t>
      </w:r>
      <w:r>
        <w:t xml:space="preserve">Е. А. Десницкая — 11), но они не образуют сплоченной институциональной когорты:</w:t>
      </w:r>
      <w:r>
        <w:t xml:space="preserve"> </w:t>
      </w:r>
      <w:r>
        <w:t xml:space="preserve">С. И. Рыжакова работает в ИЭА РАН, В. Г. Лысенко — в ИФ РАН, Я. В. Васильков —</w:t>
      </w:r>
      <w:r>
        <w:t xml:space="preserve"> </w:t>
      </w:r>
      <w:r>
        <w:t xml:space="preserve">бывший сотрудник МАЭ РАН, Е. А. Десницкая и Р. В. Псху связаны соответственно</w:t>
      </w:r>
      <w:r>
        <w:t xml:space="preserve"> </w:t>
      </w:r>
      <w:r>
        <w:t xml:space="preserve">с СПбГУ и РУДН. А. А. Игнатьев работает в Калининграде и в публичных программах</w:t>
      </w:r>
      <w:r>
        <w:t xml:space="preserve"> </w:t>
      </w:r>
      <w:r>
        <w:t xml:space="preserve">выступает без указания учреждения; для него и многих других в наших данных</w:t>
      </w:r>
      <w:r>
        <w:t xml:space="preserve"> </w:t>
      </w:r>
      <w:r>
        <w:t xml:space="preserve">зафиксирован лишь город, без институциональной приписки.</w:t>
      </w:r>
    </w:p>
    <w:bookmarkEnd w:id="24"/>
    <w:bookmarkStart w:id="25" w:name="закрытость-для-вольнослушателей"/>
    <w:p>
      <w:pPr>
        <w:pStyle w:val="Heading3"/>
      </w:pPr>
      <w:r>
        <w:t xml:space="preserve">4.4. Закрытость для вольнослушателей</w:t>
      </w:r>
    </w:p>
    <w:p>
      <w:pPr>
        <w:pStyle w:val="FirstParagraph"/>
      </w:pPr>
      <w:r>
        <w:t xml:space="preserve">Отдельное измерение «закрытости» — это доступность присутствия для тех, кто не</w:t>
      </w:r>
      <w:r>
        <w:t xml:space="preserve"> </w:t>
      </w:r>
      <w:r>
        <w:t xml:space="preserve">выступает с докладом, но желает участвовать в качестве вольнослушателя. По нашим</w:t>
      </w:r>
      <w:r>
        <w:t xml:space="preserve"> </w:t>
      </w:r>
      <w:r>
        <w:t xml:space="preserve">наблюдениям и общедоступным данным, обе площадки в целом открыты для свободного</w:t>
      </w:r>
      <w:r>
        <w:t xml:space="preserve"> </w:t>
      </w:r>
      <w:r>
        <w:t xml:space="preserve">посещения после специального запроса организаторам, однако: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Развернутая программа</w:t>
      </w:r>
      <w:r>
        <w:t xml:space="preserve"> </w:t>
      </w:r>
      <w:r>
        <w:t xml:space="preserve">публикуется лишь за несколько дней до начала чтений</w:t>
      </w:r>
      <w:r>
        <w:t xml:space="preserve"> </w:t>
      </w:r>
      <w:r>
        <w:t xml:space="preserve">(см. § 1), что заметно ограничивает планирование участия для исследователей</w:t>
      </w:r>
      <w:r>
        <w:t xml:space="preserve"> </w:t>
      </w:r>
      <w:r>
        <w:t xml:space="preserve">из других городов и зарубежья.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Видеотрансляция</w:t>
      </w:r>
      <w:r>
        <w:t xml:space="preserve"> </w:t>
      </w:r>
      <w:r>
        <w:t xml:space="preserve">очных заседаний организаторами систематически не ведется.</w:t>
      </w:r>
      <w:r>
        <w:t xml:space="preserve"> </w:t>
      </w:r>
      <w:r>
        <w:t xml:space="preserve">Доступные публично записи имеют избирательный характер: на личном канале автора</w:t>
      </w:r>
      <w:r>
        <w:t xml:space="preserve"> </w:t>
      </w:r>
      <w:r>
        <w:t xml:space="preserve">настоящей статьи на платформе YouTube размещены</w:t>
      </w:r>
      <w:r>
        <w:t xml:space="preserve"> </w:t>
      </w:r>
      <w:r>
        <w:rPr>
          <w:b/>
          <w:bCs/>
        </w:rPr>
        <w:t xml:space="preserve">178 видеозаписей</w:t>
      </w:r>
      <w:r>
        <w:t xml:space="preserve"> </w:t>
      </w:r>
      <w:r>
        <w:t xml:space="preserve">докладов</w:t>
      </w:r>
      <w:r>
        <w:t xml:space="preserve"> </w:t>
      </w:r>
      <w:r>
        <w:t xml:space="preserve">Зографских чтений — преимущественно XL и XLI сессий (2019–2020 гг., 72 видео,</w:t>
      </w:r>
      <w:r>
        <w:t xml:space="preserve"> </w:t>
      </w:r>
      <w:r>
        <w:t xml:space="preserve">из которых значительная часть приходится на XLI чтения 2020 г.), XLV сессии</w:t>
      </w:r>
      <w:r>
        <w:t xml:space="preserve"> </w:t>
      </w:r>
      <w:r>
        <w:t xml:space="preserve">(2024 г., 56 видео) и XLVI сессии (2025 г., 38 видео), а также 12 записей</w:t>
      </w:r>
      <w:r>
        <w:t xml:space="preserve"> </w:t>
      </w:r>
      <w:r>
        <w:t xml:space="preserve">в дополнительной подборке. Эта подборка является, по нашим сведениям,</w:t>
      </w:r>
      <w:r>
        <w:t xml:space="preserve"> </w:t>
      </w:r>
      <w:r>
        <w:t xml:space="preserve">единственным сравнительно полным открытым архивом записей конференции;</w:t>
      </w:r>
      <w:r>
        <w:t xml:space="preserve"> </w:t>
      </w:r>
      <w:r>
        <w:t xml:space="preserve">на сайтах ИВР РАН и ИВ РАН видеозаписи докладов не публикуются. Из 178</w:t>
      </w:r>
      <w:r>
        <w:t xml:space="preserve"> </w:t>
      </w:r>
      <w:r>
        <w:t xml:space="preserve">видеозаписей 89 удалось алгоритмически сопоставить с конкретными докладами</w:t>
      </w:r>
      <w:r>
        <w:t xml:space="preserve"> </w:t>
      </w:r>
      <w:r>
        <w:t xml:space="preserve">в нашей базе по фамилии докладчика и заголовку (нечёткое сравнение строк,</w:t>
      </w:r>
      <w:r>
        <w:t xml:space="preserve"> </w:t>
      </w:r>
      <w:r>
        <w:t xml:space="preserve">порог сходства 0,55), и эти ссылки доступны непосредственно из карточек</w:t>
      </w:r>
      <w:r>
        <w:t xml:space="preserve"> </w:t>
      </w:r>
      <w:r>
        <w:t xml:space="preserve">соответствующих докладов в электронном дашборде проекта.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Гибридный формат</w:t>
      </w:r>
      <w:r>
        <w:t xml:space="preserve">, появившийся в 2020 г. в результате пандемии COVID-19, по</w:t>
      </w:r>
      <w:r>
        <w:t xml:space="preserve"> </w:t>
      </w:r>
      <w:r>
        <w:t xml:space="preserve">опубликованным программам 2025–2026 гг. снова стал преимущественно очным. В Зографских</w:t>
      </w:r>
      <w:r>
        <w:t xml:space="preserve"> </w:t>
      </w:r>
      <w:r>
        <w:t xml:space="preserve">чтениях доля докладов с открытой пометкой «(онлайн)» сократилась с 100% в 2020 г.</w:t>
      </w:r>
      <w:r>
        <w:t xml:space="preserve"> </w:t>
      </w:r>
      <w:r>
        <w:t xml:space="preserve">до 1.7% в 2026 г. На Рериховских чтениях доля онлайн-докладов в любой год не</w:t>
      </w:r>
      <w:r>
        <w:t xml:space="preserve"> </w:t>
      </w:r>
      <w:r>
        <w:t xml:space="preserve">превышала 17%.</w:t>
      </w:r>
    </w:p>
    <w:p>
      <w:pPr>
        <w:pStyle w:val="FirstParagraph"/>
      </w:pPr>
      <w:r>
        <w:t xml:space="preserve">Таким образом, формальная открытость чтений сочетается с операциональными барьерами</w:t>
      </w:r>
      <w:r>
        <w:t xml:space="preserve"> </w:t>
      </w:r>
      <w:r>
        <w:t xml:space="preserve">для дистанционного участия и независимого наблюдения.</w:t>
      </w:r>
    </w:p>
    <w:bookmarkEnd w:id="25"/>
    <w:bookmarkStart w:id="26" w:name="сериализация-докладов-и-salami-slicing"/>
    <w:p>
      <w:pPr>
        <w:pStyle w:val="Heading3"/>
      </w:pPr>
      <w:r>
        <w:t xml:space="preserve">4.5. Сериализация докладов и «salami slicing»</w:t>
      </w:r>
    </w:p>
    <w:p>
      <w:pPr>
        <w:pStyle w:val="FirstParagraph"/>
      </w:pPr>
      <w:r>
        <w:t xml:space="preserve">Еще одна просопографическая гипотеза касается так называемой «сериализации» докладов, когда одно исследование разделяется автором на несколько логических частей, презентуемых последовательно из года в год под схожими названиями (что в наукометрической литературе часто описывается как практика «salami slicing»). Для проверки этой гипотезы мы выявили в базе данных цепочки докладов одного автора с высокой текстовой близостью названий (содержащих общие сквозные маркеры с указанием частей: «Часть 1», «Часть 2», римские цифры «I», «II» или лексемы «сообщение 1», «сообщение 2» и т.п.).</w:t>
      </w:r>
    </w:p>
    <w:p>
      <w:pPr>
        <w:pStyle w:val="BodyText"/>
      </w:pPr>
      <w:r>
        <w:t xml:space="preserve">Анализ показал следующие результаты:</w:t>
      </w:r>
      <w:r>
        <w:t xml:space="preserve"> </w:t>
      </w:r>
      <w:r>
        <w:t xml:space="preserve">* Среди авторов, составляющих «ядро» (выступивших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раз за исследуемый период), доля сериализованных докладов составила 2.6% (28 докладов из 1077).</w:t>
      </w:r>
      <w:r>
        <w:t xml:space="preserve"> </w:t>
      </w:r>
      <w:r>
        <w:t xml:space="preserve">* В группе «периферии» (менее 5 выступлений) доля таких докладов оказалась равна 5.7% (17 докладов из 300).</w:t>
      </w:r>
      <w:r>
        <w:t xml:space="preserve"> </w:t>
      </w:r>
      <w:r>
        <w:t xml:space="preserve">* Применение точного критерия Фишера указывает на статистически значимое различие между группами (</w:t>
      </w:r>
      <m:oMath>
        <m:r>
          <m:t>p</m:t>
        </m:r>
        <m:r>
          <m:rPr>
            <m:sty m:val="p"/>
          </m:rPr>
          <m:t>=</m:t>
        </m:r>
        <m:r>
          <m:t>0.0153</m:t>
        </m:r>
      </m:oMath>
      <w:r>
        <w:t xml:space="preserve">), но направление различия противоположно сильной версии гипотезы: относительная доля сериализованных докладов выше не у ядра, а у периферии. Таким образом, гипотеза о том, что представители «ядра» более склонны к искусственному дроблению своих тем для удержания позиций на конференциях, не подтверждается.</w:t>
      </w:r>
    </w:p>
    <w:p>
      <w:pPr>
        <w:pStyle w:val="BodyText"/>
      </w:pPr>
      <w:r>
        <w:t xml:space="preserve">В то же время корреляционный анализ Спирмена выявил слабую, но статистически высокозначимую положительную связь между общим числом выступлений автора и абсолютным количеством его сериализованных докладов (</w:t>
      </w:r>
      <m:oMath>
        <m:r>
          <m:t>ρ</m:t>
        </m:r>
        <m:r>
          <m:rPr>
            <m:sty m:val="p"/>
          </m:rPr>
          <m:t>=</m:t>
        </m:r>
        <m:r>
          <m:t>0.276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 Это свидетельствует о том, что сериализация является устойчивой индивидуальной стратегией долгосрочного планирования работы у отдельных исследователей, а не массовым инструментом искусственного завышения публикационной активности.</w:t>
      </w:r>
    </w:p>
    <w:bookmarkEnd w:id="26"/>
    <w:bookmarkEnd w:id="27"/>
    <w:bookmarkStart w:id="33" w:name="Xd4e9add6d4ef09d6c8cd8afe6a1aad39ef6445f"/>
    <w:p>
      <w:pPr>
        <w:pStyle w:val="Heading2"/>
      </w:pPr>
      <w:r>
        <w:t xml:space="preserve">5. Критерии включения: кто называется востоковедом</w:t>
      </w:r>
    </w:p>
    <w:bookmarkStart w:id="28" w:name="Xbc7e092e50217becc31b384a704971f3201f053"/>
    <w:p>
      <w:pPr>
        <w:pStyle w:val="Heading3"/>
      </w:pPr>
      <w:r>
        <w:t xml:space="preserve">5.1. Декларация и публикуемый формат программы</w:t>
      </w:r>
    </w:p>
    <w:p>
      <w:pPr>
        <w:pStyle w:val="FirstParagraph"/>
      </w:pPr>
      <w:r>
        <w:t xml:space="preserve">В предварительной программе</w:t>
      </w:r>
      <w:r>
        <w:t xml:space="preserve"> </w:t>
      </w:r>
      <w:r>
        <w:rPr>
          <w:b/>
          <w:bCs/>
        </w:rPr>
        <w:t xml:space="preserve">XLVII Зографских чтений</w:t>
      </w:r>
      <w:r>
        <w:t xml:space="preserve"> </w:t>
      </w:r>
      <w:r>
        <w:t xml:space="preserve">(26–29 мая 2026 г.) оргкомитет</w:t>
      </w:r>
      <w:r>
        <w:t xml:space="preserve"> </w:t>
      </w:r>
      <w:r>
        <w:t xml:space="preserve">делает следующее уточняющее заявление о составе участников:</w:t>
      </w:r>
    </w:p>
    <w:p>
      <w:pPr>
        <w:pStyle w:val="BlockText"/>
      </w:pPr>
      <w:r>
        <w:t xml:space="preserve">«В работе конференции примут участия [так в источнике] ученые-индологи из профильных академических</w:t>
      </w:r>
      <w:r>
        <w:t xml:space="preserve"> </w:t>
      </w:r>
      <w:r>
        <w:t xml:space="preserve">учреждений России и зарубежья.»¹</w:t>
      </w:r>
    </w:p>
    <w:p>
      <w:pPr>
        <w:pStyle w:val="FirstParagraph"/>
      </w:pPr>
      <w:r>
        <w:t xml:space="preserve">Данное уточнение появляется впервые в просмотренных нами объявлениях этих чтений; в более ранних объявлениях</w:t>
      </w:r>
      <w:r>
        <w:t xml:space="preserve"> </w:t>
      </w:r>
      <w:r>
        <w:t xml:space="preserve">аналогичные ограничения отсутствуют. Однако сама программа XLVII чтений делает</w:t>
      </w:r>
      <w:r>
        <w:t xml:space="preserve"> </w:t>
      </w:r>
      <w:r>
        <w:t xml:space="preserve">буквальное прочтение этого критерия неосуществимым по простой структурной причине:</w:t>
      </w:r>
      <w:r>
        <w:t xml:space="preserve"> </w:t>
      </w:r>
      <w:r>
        <w:rPr>
          <w:b/>
          <w:bCs/>
        </w:rPr>
        <w:t xml:space="preserve">ни у одного из 60 участников программы не указано конкретное учреждение</w:t>
      </w:r>
      <w:r>
        <w:t xml:space="preserve"> </w:t>
      </w:r>
      <w:r>
        <w:t xml:space="preserve">— указан</w:t>
      </w:r>
      <w:r>
        <w:t xml:space="preserve"> </w:t>
      </w:r>
      <w:r>
        <w:t xml:space="preserve">только город (Москва, Санкт-Петербург, Пенза, Екатеринбург, Тель-Авив, Дели, Гент,</w:t>
      </w:r>
      <w:r>
        <w:t xml:space="preserve"> </w:t>
      </w:r>
      <w:r>
        <w:t xml:space="preserve">Патна и т. п.). Кроме того, для целого ряда участников упомянутый «город» в</w:t>
      </w:r>
      <w:r>
        <w:t xml:space="preserve"> </w:t>
      </w:r>
      <w:r>
        <w:t xml:space="preserve">действительности не является и не подразумевает институциональной принадлежности</w:t>
      </w:r>
      <w:r>
        <w:t xml:space="preserve"> </w:t>
      </w:r>
      <w:r>
        <w:t xml:space="preserve">(так, у А. А. Игнатьева в течение всех двенадцати его выступлений на Зографских</w:t>
      </w:r>
      <w:r>
        <w:t xml:space="preserve"> </w:t>
      </w:r>
      <w:r>
        <w:t xml:space="preserve">чтениях стоит лишь «Калининград» — название города, а не научного учреждения).</w:t>
      </w:r>
      <w:r>
        <w:t xml:space="preserve"> </w:t>
      </w:r>
      <w:r>
        <w:t xml:space="preserve">Поэтому уже из самой публикуемой формы программы невозможно установить, является ли</w:t>
      </w:r>
      <w:r>
        <w:t xml:space="preserve"> </w:t>
      </w:r>
      <w:r>
        <w:t xml:space="preserve">каждый конкретный участник сотрудником «профильного академического учреждения» или</w:t>
      </w:r>
      <w:r>
        <w:t xml:space="preserve"> </w:t>
      </w:r>
      <w:r>
        <w:t xml:space="preserve">нет.</w:t>
      </w:r>
    </w:p>
    <w:bookmarkEnd w:id="28"/>
    <w:bookmarkStart w:id="29" w:name="проверка-через-историческую-аффилиацию"/>
    <w:p>
      <w:pPr>
        <w:pStyle w:val="Heading3"/>
      </w:pPr>
      <w:r>
        <w:t xml:space="preserve">5.2. Проверка через историческую аффилиацию</w:t>
      </w:r>
    </w:p>
    <w:p>
      <w:pPr>
        <w:pStyle w:val="FirstParagraph"/>
      </w:pPr>
      <w:r>
        <w:t xml:space="preserve">Чтобы все же оценить степень соответствия фактического состава 2026 г. заявленному</w:t>
      </w:r>
      <w:r>
        <w:t xml:space="preserve"> </w:t>
      </w:r>
      <w:r>
        <w:t xml:space="preserve">критерию, мы провели проверку</w:t>
      </w:r>
      <w:r>
        <w:t xml:space="preserve"> </w:t>
      </w:r>
      <w:r>
        <w:rPr>
          <w:b/>
          <w:bCs/>
        </w:rPr>
        <w:t xml:space="preserve">по всей истории участия каждого из 60 ученых</w:t>
      </w:r>
      <w:r>
        <w:t xml:space="preserve"> </w:t>
      </w:r>
      <w:r>
        <w:t xml:space="preserve">на</w:t>
      </w:r>
      <w:r>
        <w:t xml:space="preserve"> </w:t>
      </w:r>
      <w:r>
        <w:t xml:space="preserve">обеих чтениях, аккумулированной в нашей базе за 2004–2025 гг. Идея проста: если</w:t>
      </w:r>
      <w:r>
        <w:t xml:space="preserve"> </w:t>
      </w:r>
      <w:r>
        <w:t xml:space="preserve">ученый в каком-либо из своих предыдущих выступлений (или сразу в нескольких) указывал</w:t>
      </w:r>
      <w:r>
        <w:t xml:space="preserve"> </w:t>
      </w:r>
      <w:r>
        <w:t xml:space="preserve">конкретное учреждение, мы засчитываем это как документированное институциональное</w:t>
      </w:r>
      <w:r>
        <w:t xml:space="preserve"> </w:t>
      </w:r>
      <w:r>
        <w:t xml:space="preserve">свидетельство; если же во ВСЕХ годах своих выступлений (а у некоторых их более десяти)</w:t>
      </w:r>
      <w:r>
        <w:t xml:space="preserve"> </w:t>
      </w:r>
      <w:r>
        <w:t xml:space="preserve">указывался лишь город — мы фиксируем структурное отсутствие институциональной приписки</w:t>
      </w:r>
      <w:r>
        <w:t xml:space="preserve"> </w:t>
      </w:r>
      <w:r>
        <w:t xml:space="preserve">в публичном пространстве конференции.</w:t>
      </w:r>
    </w:p>
    <w:p>
      <w:pPr>
        <w:pStyle w:val="BodyText"/>
      </w:pPr>
      <w:r>
        <w:t xml:space="preserve">Результат проверки приведен ниже. Полные пофамильные списки опубликованы отдельно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analytics_output/zograf_2026_no_affiliation.md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Кол-во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С документированной аффилиацией в истории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</w:t>
            </w:r>
          </w:p>
        </w:tc>
        <w:tc>
          <w:tcPr/>
          <w:p>
            <w:pPr>
              <w:pStyle w:val="Compact"/>
            </w:pPr>
            <w:r>
              <w:t xml:space="preserve">Хотя бы в одной из прошлых программ стоит конкретное учреждение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Только город во всех годах участия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Никогда за всю историю выступлений на двух чтениях не указано учреждение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Явный «независимый исследователь» (Н. А. Корнеева)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С 2022 г. в Рериховских чтениях прямо помечена как 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по нашим данным критерий</w:t>
      </w:r>
      <w:r>
        <w:rPr>
          <w:b/>
          <w:bCs/>
        </w:rPr>
        <w:t xml:space="preserve"> </w:t>
      </w:r>
      <w:r>
        <w:rPr>
          <w:b/>
          <w:bCs/>
        </w:rPr>
        <w:t xml:space="preserve">“профильных академических учреждений”</w:t>
      </w:r>
      <w:r>
        <w:rPr>
          <w:b/>
          <w:bCs/>
        </w:rPr>
        <w:t xml:space="preserve"> </w:t>
      </w:r>
      <w:r>
        <w:rPr>
          <w:b/>
          <w:bCs/>
        </w:rPr>
        <w:t xml:space="preserve">является документально проверяемым лишь для 31.7% состава XLVII Зографских чтений</w:t>
      </w:r>
      <w:r>
        <w:rPr>
          <w:b/>
          <w:bCs/>
        </w:rPr>
        <w:t xml:space="preserve"> </w:t>
      </w:r>
      <w:r>
        <w:rPr>
          <w:b/>
          <w:bCs/>
        </w:rPr>
        <w:t xml:space="preserve">2026 г.</w:t>
      </w:r>
      <w:r>
        <w:t xml:space="preserve"> </w:t>
      </w:r>
      <w:r>
        <w:t xml:space="preserve">Это не означает, что остальные две трети не имеют учреждения: значительная</w:t>
      </w:r>
      <w:r>
        <w:t xml:space="preserve"> </w:t>
      </w:r>
      <w:r>
        <w:t xml:space="preserve">их часть, по внешним биографическим сведениям, является сотрудниками известных</w:t>
      </w:r>
      <w:r>
        <w:t xml:space="preserve"> </w:t>
      </w:r>
      <w:r>
        <w:t xml:space="preserve">институтов (МАЭ РАН, ИВР РАН, ИФ РАН, РУДН и др.), но этот статус не отражен в</w:t>
      </w:r>
      <w:r>
        <w:t xml:space="preserve"> </w:t>
      </w:r>
      <w:r>
        <w:t xml:space="preserve">публикуемом формате программы. Структурная проблема не в составе участников, а в формате</w:t>
      </w:r>
      <w:r>
        <w:t xml:space="preserve"> </w:t>
      </w:r>
      <w:r>
        <w:t xml:space="preserve">объявления: декларация о критерии и публикуемая форма программы расходятся.</w:t>
      </w:r>
    </w:p>
    <w:bookmarkEnd w:id="29"/>
    <w:bookmarkStart w:id="30" w:name="X214383b3154690d94a256c197384a9712a1a072"/>
    <w:p>
      <w:pPr>
        <w:pStyle w:val="Heading3"/>
      </w:pPr>
      <w:r>
        <w:t xml:space="preserve">5.3. Кто конкретно не имеет аффилиации в наших данных</w:t>
      </w:r>
    </w:p>
    <w:p>
      <w:pPr>
        <w:pStyle w:val="FirstParagraph"/>
      </w:pPr>
      <w:r>
        <w:t xml:space="preserve">Среди 60 участников XLVII Зографских чтений 2026 г.</w:t>
      </w:r>
      <w:r>
        <w:t xml:space="preserve"> </w:t>
      </w:r>
      <w:r>
        <w:rPr>
          <w:b/>
          <w:bCs/>
        </w:rPr>
        <w:t xml:space="preserve">41 человек ни разу за все годы</w:t>
      </w:r>
      <w:r>
        <w:rPr>
          <w:b/>
          <w:bCs/>
        </w:rPr>
        <w:t xml:space="preserve"> </w:t>
      </w:r>
      <w:r>
        <w:rPr>
          <w:b/>
          <w:bCs/>
        </w:rPr>
        <w:t xml:space="preserve">участия не указывал в программе никакого учреждения</w:t>
      </w:r>
      <w:r>
        <w:t xml:space="preserve"> </w:t>
      </w:r>
      <w:r>
        <w:t xml:space="preserve">— для них в строке программы</w:t>
      </w:r>
      <w:r>
        <w:t xml:space="preserve"> </w:t>
      </w:r>
      <w:r>
        <w:t xml:space="preserve">во все годы стоит только город (СПб., Москва, Калининград, Пенза, Казань, Гамбург,</w:t>
      </w:r>
      <w:r>
        <w:t xml:space="preserve"> </w:t>
      </w:r>
      <w:r>
        <w:t xml:space="preserve">Дели, Тель-Авив, Екатеринбург и т. п.) либо явная самопометка «независимый исследователь».</w:t>
      </w:r>
      <w:r>
        <w:t xml:space="preserve"> </w:t>
      </w:r>
      <w:r>
        <w:t xml:space="preserve">Среди этих 41 участника есть как заведомо известные академические специалисты</w:t>
      </w:r>
      <w:r>
        <w:t xml:space="preserve"> </w:t>
      </w:r>
      <w:r>
        <w:t xml:space="preserve">(М. Ф. Альбедиль из МАЭ РАН, С. Л. Бурмистров из ИВР РАН, Р. В. Псху из РУДН,</w:t>
      </w:r>
      <w:r>
        <w:t xml:space="preserve"> </w:t>
      </w:r>
      <w:r>
        <w:t xml:space="preserve">С. Х. Шомахмадов из ИВР РАН), так и ученые, чей институциональный статус наша база</w:t>
      </w:r>
      <w:r>
        <w:t xml:space="preserve"> </w:t>
      </w:r>
      <w:r>
        <w:t xml:space="preserve">просто не может подтвердить из-за единообразия формата публикуемой программы</w:t>
      </w:r>
      <w:r>
        <w:t xml:space="preserve"> </w:t>
      </w:r>
      <w:r>
        <w:t xml:space="preserve">(Т. И. Оранская, С. В. Касым, Е. Г. Застрожнова, В. А. Абинякин и др. — все указаны</w:t>
      </w:r>
      <w:r>
        <w:t xml:space="preserve"> </w:t>
      </w:r>
      <w:r>
        <w:t xml:space="preserve">только как «Санкт-Петербург»).</w:t>
      </w:r>
    </w:p>
    <w:p>
      <w:pPr>
        <w:pStyle w:val="BodyText"/>
      </w:pPr>
      <w:r>
        <w:rPr>
          <w:b/>
          <w:bCs/>
        </w:rPr>
        <w:t xml:space="preserve">Среди 41 участника без указания учреждения</w:t>
      </w:r>
      <w:r>
        <w:t xml:space="preserve"> </w:t>
      </w:r>
      <w:r>
        <w:t xml:space="preserve">в 2026 г. публично подтверждается</w:t>
      </w:r>
      <w:r>
        <w:t xml:space="preserve"> </w:t>
      </w:r>
      <w:r>
        <w:t xml:space="preserve">лишь один статус, прямо противоречащий критерию академического сотрудника: это</w:t>
      </w:r>
      <w:r>
        <w:t xml:space="preserve"> </w:t>
      </w:r>
      <w:r>
        <w:rPr>
          <w:b/>
          <w:bCs/>
        </w:rPr>
        <w:t xml:space="preserve">Н. А. Корнеева</w:t>
      </w:r>
      <w:r>
        <w:t xml:space="preserve">, в программах Рериховских чтений 2022–2025 гг. явно представлявшаяся</w:t>
      </w:r>
      <w:r>
        <w:t xml:space="preserve"> </w:t>
      </w:r>
      <w:r>
        <w:t xml:space="preserve">как «независимый исследователь» (с указанием «НИ», «ни» и развернутого варианта).</w:t>
      </w:r>
      <w:r>
        <w:t xml:space="preserve"> </w:t>
      </w:r>
      <w:r>
        <w:t xml:space="preserve">Она же фигурирует в программе XLVII Зографских чтений 2026 г. с обозначением</w:t>
      </w:r>
      <w:r>
        <w:t xml:space="preserve"> </w:t>
      </w:r>
      <w:r>
        <w:t xml:space="preserve">«Москва» (как и в других своих выступлениях на Зографских чтениях).</w:t>
      </w:r>
    </w:p>
    <w:p>
      <w:pPr>
        <w:pStyle w:val="BodyText"/>
      </w:pPr>
      <w:r>
        <w:t xml:space="preserve">Особое внимание привлекают два доклада, по названию относящиеся к категории</w:t>
      </w:r>
      <w:r>
        <w:t xml:space="preserve"> </w:t>
      </w:r>
      <w:r>
        <w:t xml:space="preserve">прикладной деятельности:</w:t>
      </w:r>
    </w:p>
    <w:p>
      <w:pPr>
        <w:pStyle w:val="Compact"/>
        <w:numPr>
          <w:ilvl w:val="0"/>
          <w:numId w:val="1005"/>
        </w:numPr>
      </w:pPr>
      <w:r>
        <w:t xml:space="preserve">Ю. В. Бещук (СПб.), «Перевод в практике преподавания хинди в средней школе»;</w:t>
      </w:r>
    </w:p>
    <w:p>
      <w:pPr>
        <w:pStyle w:val="Compact"/>
        <w:numPr>
          <w:ilvl w:val="0"/>
          <w:numId w:val="1005"/>
        </w:numPr>
      </w:pPr>
      <w:r>
        <w:t xml:space="preserve">И. А. Соколова (СПб.), «Пословицы и поговорки Индии и России как аспект межкультурной</w:t>
      </w:r>
      <w:r>
        <w:t xml:space="preserve"> </w:t>
      </w:r>
      <w:r>
        <w:t xml:space="preserve">коммуникации (проектная деятельность на уроках языка хинди)».</w:t>
      </w:r>
    </w:p>
    <w:p>
      <w:pPr>
        <w:pStyle w:val="FirstParagraph"/>
      </w:pPr>
      <w:r>
        <w:t xml:space="preserve">Темы этих двух докладов прямо отсылают к школьной педагогической практике, а не к</w:t>
      </w:r>
      <w:r>
        <w:t xml:space="preserve"> </w:t>
      </w:r>
      <w:r>
        <w:t xml:space="preserve">институциональной принадлежности автора. Сами по себе они не доказывают отсутствия</w:t>
      </w:r>
      <w:r>
        <w:t xml:space="preserve"> </w:t>
      </w:r>
      <w:r>
        <w:t xml:space="preserve">академической аффилиации у докладчиков, но показывают, что строгая формулировка</w:t>
      </w:r>
      <w:r>
        <w:t xml:space="preserve"> </w:t>
      </w:r>
      <w:r>
        <w:t xml:space="preserve">критерия смешивает два разных уровня — статус учреждения и тематический профиль</w:t>
      </w:r>
      <w:r>
        <w:t xml:space="preserve"> </w:t>
      </w:r>
      <w:r>
        <w:t xml:space="preserve">доклада, — а потому нуждается в явном пояснении.</w:t>
      </w:r>
    </w:p>
    <w:bookmarkEnd w:id="30"/>
    <w:bookmarkStart w:id="31" w:name="интерпретация-1"/>
    <w:p>
      <w:pPr>
        <w:pStyle w:val="Heading3"/>
      </w:pPr>
      <w:r>
        <w:t xml:space="preserve">5.4. Интерпретация</w:t>
      </w:r>
    </w:p>
    <w:p>
      <w:pPr>
        <w:pStyle w:val="FirstParagraph"/>
      </w:pPr>
      <w:r>
        <w:t xml:space="preserve">Из анализа следует, что декларируемый критерий имеет одно из двух значений: либо</w:t>
      </w:r>
      <w:r>
        <w:t xml:space="preserve"> </w:t>
      </w:r>
      <w:r>
        <w:t xml:space="preserve">(а) он применяется на этапе подачи заявок (т. е. отдельные авторы отсекаются заранее</w:t>
      </w:r>
      <w:r>
        <w:t xml:space="preserve"> </w:t>
      </w:r>
      <w:r>
        <w:t xml:space="preserve">без публичного объявления), и тогда мы фиксируем фильтр, действие которого мы не</w:t>
      </w:r>
      <w:r>
        <w:t xml:space="preserve"> </w:t>
      </w:r>
      <w:r>
        <w:t xml:space="preserve">можем наблюдать; либо (б) он формулируется как риторический сигнал, не подразумевающий</w:t>
      </w:r>
      <w:r>
        <w:t xml:space="preserve"> </w:t>
      </w:r>
      <w:r>
        <w:t xml:space="preserve">буквального исполнения, и тогда мы фиксируем декларацию о намерениях, не выраженную</w:t>
      </w:r>
      <w:r>
        <w:t xml:space="preserve"> </w:t>
      </w:r>
      <w:r>
        <w:t xml:space="preserve">в фактическом составе. Имеющиеся данные не позволяют выбрать между этими двумя</w:t>
      </w:r>
      <w:r>
        <w:t xml:space="preserve"> </w:t>
      </w:r>
      <w:r>
        <w:t xml:space="preserve">объяснениями. Содержательно важно, что само наличие подобной формулировки впервые</w:t>
      </w:r>
      <w:r>
        <w:t xml:space="preserve"> </w:t>
      </w:r>
      <w:r>
        <w:t xml:space="preserve">за двадцать с лишним лет работы чтений уже отражает смену тональности оргкомитета —</w:t>
      </w:r>
      <w:r>
        <w:t xml:space="preserve"> </w:t>
      </w:r>
      <w:r>
        <w:t xml:space="preserve">смену, по времени совпавшую со сменой руководства организационного комитета (см. § 1).</w:t>
      </w:r>
    </w:p>
    <w:p>
      <w:pPr>
        <w:pStyle w:val="BodyText"/>
      </w:pPr>
      <w:r>
        <w:t xml:space="preserve">Стремление оргкомитета XLVII Зографских чтений (2026 г.) ограничить состав участников рамками «профильных академических учреждений» отражает общую тенденцию академического менеджмента к созданию жестких формальных границ. Однако расхождение между этой декларацией и формой публикации программы (где 66.7% участников указаны только по городу) иллюстрирует общую для российской науки проблему, когда навязывание формальных показателей превращает их в «некий фетиш, самоцель системы в ущерб реальной содержательной деятельности» [Гринёв, 2019, с. 996]. В условиях сложившейся «наукометрической анархии» [Гринёв, 2019, с. 1000] оргкомитеты вынуждены использовать риторические маркеры академического статуса, хотя реальная структура индологического сообщества продолжает опираться на географическую циркуляцию кадров и неформальные профессиональные связи.</w:t>
      </w:r>
    </w:p>
    <w:p>
      <w:pPr>
        <w:pStyle w:val="BodyText"/>
      </w:pPr>
      <w:r>
        <w:t xml:space="preserve">В этой связи уместно отметить: по нашим тематическим данным (см. раздел 8.3), доля</w:t>
      </w:r>
      <w:r>
        <w:t xml:space="preserve"> </w:t>
      </w:r>
      <w:r>
        <w:t xml:space="preserve">прикладных и методологических докладов на обеих площадках практически идентична и</w:t>
      </w:r>
      <w:r>
        <w:t xml:space="preserve"> </w:t>
      </w:r>
      <w:r>
        <w:t xml:space="preserve">составляет около 6–7% от общего числа. Это означает, что</w:t>
      </w:r>
      <w:r>
        <w:t xml:space="preserve"> </w:t>
      </w:r>
      <w:r>
        <w:rPr>
          <w:b/>
          <w:bCs/>
        </w:rPr>
        <w:t xml:space="preserve">гипотеза о систематическом</w:t>
      </w:r>
      <w:r>
        <w:rPr>
          <w:b/>
          <w:bCs/>
        </w:rPr>
        <w:t xml:space="preserve"> </w:t>
      </w:r>
      <w:r>
        <w:rPr>
          <w:b/>
          <w:bCs/>
        </w:rPr>
        <w:t xml:space="preserve">тематическом фильтре, отсекающем прикладные темы, нашими данными не подтверждается</w:t>
      </w:r>
      <w:r>
        <w:t xml:space="preserve">.</w:t>
      </w:r>
      <w:r>
        <w:t xml:space="preserve"> </w:t>
      </w:r>
      <w:r>
        <w:t xml:space="preserve">Точнее было бы говорить об избирательной практике отдельных решений по конкретным</w:t>
      </w:r>
      <w:r>
        <w:t xml:space="preserve"> </w:t>
      </w:r>
      <w:r>
        <w:t xml:space="preserve">заявителям, нежели о доктринальном фильтре по содержанию. Эти решения, лишь время</w:t>
      </w:r>
      <w:r>
        <w:t xml:space="preserve"> </w:t>
      </w:r>
      <w:r>
        <w:t xml:space="preserve">от времени становящиеся видимыми (и тогда — лишь самим заявителям, получающим отказ),</w:t>
      </w:r>
      <w:r>
        <w:t xml:space="preserve"> </w:t>
      </w:r>
      <w:r>
        <w:t xml:space="preserve">по своей природе ближе к контекстным предпочтениям оргкомитета, чем к гласному</w:t>
      </w:r>
      <w:r>
        <w:t xml:space="preserve"> </w:t>
      </w:r>
      <w:r>
        <w:t xml:space="preserve">правилу, и потому особенно нуждаются в открытом обсуждении.</w:t>
      </w:r>
    </w:p>
    <w:bookmarkEnd w:id="31"/>
    <w:bookmarkStart w:id="32" w:name="сноска"/>
    <w:p>
      <w:pPr>
        <w:pStyle w:val="Heading3"/>
      </w:pPr>
      <w:r>
        <w:t xml:space="preserve">Сноска</w:t>
      </w:r>
    </w:p>
    <w:p>
      <w:pPr>
        <w:pStyle w:val="FirstParagraph"/>
      </w:pPr>
      <w:r>
        <w:t xml:space="preserve">¹ Программа XLVII Зографских чтений, опубликованная на сайте ИВР РАН (раздел</w:t>
      </w:r>
      <w:r>
        <w:t xml:space="preserve"> </w:t>
      </w:r>
      <w:r>
        <w:t xml:space="preserve">«Конференции», дата публикации — апрель 2026 г.).</w:t>
      </w:r>
    </w:p>
    <w:bookmarkEnd w:id="32"/>
    <w:bookmarkEnd w:id="33"/>
    <w:bookmarkStart w:id="36" w:name="институциональный-ландшафт"/>
    <w:p>
      <w:pPr>
        <w:pStyle w:val="Heading2"/>
      </w:pPr>
      <w:r>
        <w:t xml:space="preserve">6. Институциональный ландшафт</w:t>
      </w:r>
    </w:p>
    <w:p>
      <w:pPr>
        <w:pStyle w:val="FirstParagraph"/>
      </w:pPr>
      <w:r>
        <w:t xml:space="preserve">Институциональная карта обеих площадок различается. В Зографских чтениях наиболее</w:t>
      </w:r>
      <w:r>
        <w:t xml:space="preserve"> </w:t>
      </w:r>
      <w:r>
        <w:t xml:space="preserve">часто представлены</w:t>
      </w:r>
      <w:r>
        <w:t xml:space="preserve"> </w:t>
      </w:r>
      <w:r>
        <w:rPr>
          <w:b/>
          <w:bCs/>
        </w:rPr>
        <w:t xml:space="preserve">СПбГУ (Восточный факультет)</w:t>
      </w:r>
      <w:r>
        <w:t xml:space="preserve">,</w:t>
      </w:r>
      <w:r>
        <w:t xml:space="preserve"> </w:t>
      </w:r>
      <w:r>
        <w:rPr>
          <w:b/>
          <w:bCs/>
        </w:rPr>
        <w:t xml:space="preserve">ИВР РАН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Институт философии</w:t>
      </w:r>
      <w:r>
        <w:rPr>
          <w:b/>
          <w:bCs/>
        </w:rPr>
        <w:t xml:space="preserve"> </w:t>
      </w:r>
      <w:r>
        <w:rPr>
          <w:b/>
          <w:bCs/>
        </w:rPr>
        <w:t xml:space="preserve">РАН</w:t>
      </w:r>
      <w:r>
        <w:t xml:space="preserve">; периферийно присутствуют</w:t>
      </w:r>
      <w:r>
        <w:t xml:space="preserve"> </w:t>
      </w:r>
      <w:r>
        <w:rPr>
          <w:b/>
          <w:bCs/>
        </w:rPr>
        <w:t xml:space="preserve">ИСАА МГУ</w:t>
      </w:r>
      <w:r>
        <w:t xml:space="preserve">,</w:t>
      </w:r>
      <w:r>
        <w:t xml:space="preserve"> </w:t>
      </w:r>
      <w:r>
        <w:rPr>
          <w:b/>
          <w:bCs/>
        </w:rPr>
        <w:t xml:space="preserve">РГГУ</w:t>
      </w:r>
      <w:r>
        <w:t xml:space="preserve">,</w:t>
      </w:r>
      <w:r>
        <w:t xml:space="preserve"> </w:t>
      </w:r>
      <w:r>
        <w:rPr>
          <w:b/>
          <w:bCs/>
        </w:rPr>
        <w:t xml:space="preserve">НИУ ВШЭ (ИКВИА)</w:t>
      </w:r>
      <w:r>
        <w:t xml:space="preserve"> </w:t>
      </w:r>
      <w:r>
        <w:t xml:space="preserve">и</w:t>
      </w:r>
      <w:r>
        <w:t xml:space="preserve"> </w:t>
      </w:r>
      <w:r>
        <w:t xml:space="preserve">региональные исследователи (Казань, Калининград, Пенза, Екатеринбург). На Рериховских</w:t>
      </w:r>
      <w:r>
        <w:t xml:space="preserve"> </w:t>
      </w:r>
      <w:r>
        <w:t xml:space="preserve">чтениях доминирует</w:t>
      </w:r>
      <w:r>
        <w:t xml:space="preserve"> </w:t>
      </w:r>
      <w:r>
        <w:rPr>
          <w:b/>
          <w:bCs/>
        </w:rPr>
        <w:t xml:space="preserve">ИВ РАН</w:t>
      </w:r>
      <w:r>
        <w:t xml:space="preserve"> </w:t>
      </w:r>
      <w:r>
        <w:t xml:space="preserve">— Институт востоковедения РАН, в первую очередь сотрудники</w:t>
      </w:r>
      <w:r>
        <w:t xml:space="preserve"> </w:t>
      </w:r>
      <w:r>
        <w:t xml:space="preserve">Отдела истории и культуры Древнего Востока; во вторую очередь представлены</w:t>
      </w:r>
      <w:r>
        <w:t xml:space="preserve"> </w:t>
      </w:r>
      <w:r>
        <w:rPr>
          <w:b/>
          <w:bCs/>
        </w:rPr>
        <w:t xml:space="preserve">ИМЛИ</w:t>
      </w:r>
      <w:r>
        <w:rPr>
          <w:b/>
          <w:bCs/>
        </w:rPr>
        <w:t xml:space="preserve"> </w:t>
      </w:r>
      <w:r>
        <w:rPr>
          <w:b/>
          <w:bCs/>
        </w:rPr>
        <w:t xml:space="preserve">РАН</w:t>
      </w:r>
      <w:r>
        <w:t xml:space="preserve">,</w:t>
      </w:r>
      <w:r>
        <w:t xml:space="preserve"> </w:t>
      </w:r>
      <w:r>
        <w:rPr>
          <w:b/>
          <w:bCs/>
        </w:rPr>
        <w:t xml:space="preserve">Институт философии РАН</w:t>
      </w:r>
      <w:r>
        <w:t xml:space="preserve">,</w:t>
      </w:r>
      <w:r>
        <w:t xml:space="preserve"> </w:t>
      </w:r>
      <w:r>
        <w:rPr>
          <w:b/>
          <w:bCs/>
        </w:rPr>
        <w:t xml:space="preserve">РГГУ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РУДН</w:t>
      </w:r>
      <w:r>
        <w:t xml:space="preserve">.</w:t>
      </w:r>
    </w:p>
    <w:p>
      <w:pPr>
        <w:pStyle w:val="BodyText"/>
      </w:pPr>
      <w:r>
        <w:t xml:space="preserve">Динамика аффилиаций в нашей базе зафиксирована для 77 ученых, чьи указанные места</w:t>
      </w:r>
      <w:r>
        <w:t xml:space="preserve"> </w:t>
      </w:r>
      <w:r>
        <w:t xml:space="preserve">работы менялись с течением времени. Наиболее заметные сюжеты: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Миграция в Институт философии РАН.</w:t>
      </w:r>
      <w:r>
        <w:t xml:space="preserve"> </w:t>
      </w:r>
      <w:r>
        <w:t xml:space="preserve">В. Г. Лысенко в 2012 г. впервые указала</w:t>
      </w:r>
      <w:r>
        <w:t xml:space="preserve"> </w:t>
      </w:r>
      <w:r>
        <w:t xml:space="preserve">Институт философии РАН (до этого — только «Москва»); с тех пор она появляется</w:t>
      </w:r>
      <w:r>
        <w:t xml:space="preserve"> </w:t>
      </w:r>
      <w:r>
        <w:t xml:space="preserve">либо как ИФ РАН, либо как «Москва». В. К. Шохин (ИФ РАН) появляется на Зографских</w:t>
      </w:r>
      <w:r>
        <w:t xml:space="preserve"> </w:t>
      </w:r>
      <w:r>
        <w:t xml:space="preserve">чтениях лишь с 2020 г., что отражает расширение участия этого института.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Межпоколенческие связи петербургского круга.</w:t>
      </w:r>
      <w:r>
        <w:t xml:space="preserve"> </w:t>
      </w:r>
      <w:r>
        <w:t xml:space="preserve">Е. А. Десницкая и Е. О. Кузина —</w:t>
      </w:r>
      <w:r>
        <w:t xml:space="preserve"> </w:t>
      </w:r>
      <w:r>
        <w:t xml:space="preserve">выпускницы С.-Петербургского отделения, связанные с кругом А. В. Парибка по</w:t>
      </w:r>
      <w:r>
        <w:t xml:space="preserve"> </w:t>
      </w:r>
      <w:r>
        <w:t xml:space="preserve">ряду тем, на разных этапах присоединяются к Зографским и Рериховским чтениям.</w:t>
      </w:r>
      <w:r>
        <w:t xml:space="preserve"> </w:t>
      </w:r>
      <w:r>
        <w:t xml:space="preserve">Здесь это важно не как реконструкция «школы», а как пример плотных связей между</w:t>
      </w:r>
      <w:r>
        <w:t xml:space="preserve"> </w:t>
      </w:r>
      <w:r>
        <w:t xml:space="preserve">исследователями разных поколений; в настоящем исследовании мы их не систематизировали</w:t>
      </w:r>
      <w:r>
        <w:t xml:space="preserve"> </w:t>
      </w:r>
      <w:r>
        <w:t xml:space="preserve">отдельно.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РГГУ → ИКВИА НИУ ВШЭ.</w:t>
      </w:r>
      <w:r>
        <w:t xml:space="preserve"> </w:t>
      </w:r>
      <w:r>
        <w:t xml:space="preserve">В 2010-х гг. ряд ученых, ранее аффилированных с РГГУ</w:t>
      </w:r>
      <w:r>
        <w:t xml:space="preserve"> </w:t>
      </w:r>
      <w:r>
        <w:t xml:space="preserve">(Н. В. Александрова — РГГУ 2015–2017 → ИВ РАН с 2018; А. Д. Цендина и др.),</w:t>
      </w:r>
      <w:r>
        <w:t xml:space="preserve"> </w:t>
      </w:r>
      <w:r>
        <w:t xml:space="preserve">перешел в Институт классического Востока и античности (ИКВИА) НИУ ВШЭ. Сегодня</w:t>
      </w:r>
      <w:r>
        <w:t xml:space="preserve"> </w:t>
      </w:r>
      <w:r>
        <w:t xml:space="preserve">ИКВИА — заметный голос в обоих чтениях, особенно среди молодых дебютантов</w:t>
      </w:r>
      <w:r>
        <w:t xml:space="preserve"> </w:t>
      </w:r>
      <w:r>
        <w:t xml:space="preserve">2024–2026 гг. (Д. А. Комиссаров, М. Д. Минаева, А. В. Молина).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Смена статуса А. В. Парибка</w:t>
      </w:r>
      <w:r>
        <w:t xml:space="preserve">: до 2014 г. — СПбГУ, далее — «Санкт-Петербург»,</w:t>
      </w:r>
      <w:r>
        <w:t xml:space="preserve"> </w:t>
      </w:r>
      <w:r>
        <w:t xml:space="preserve">с 2022 г. — «Москва»; речь идет о фактическом отходе от штатной позиции при</w:t>
      </w:r>
      <w:r>
        <w:t xml:space="preserve"> </w:t>
      </w:r>
      <w:r>
        <w:t xml:space="preserve">сохранении научной активности.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Н. А. Корнеева</w:t>
      </w:r>
      <w:r>
        <w:t xml:space="preserve"> </w:t>
      </w:r>
      <w:r>
        <w:t xml:space="preserve">в Рериховских чтениях 2022 г. впервые указала «независимый</w:t>
      </w:r>
      <w:r>
        <w:t xml:space="preserve"> </w:t>
      </w:r>
      <w:r>
        <w:t xml:space="preserve">исследователь» (или варианты «НИ», «ни»). Это не значит, что Корнеева переехала</w:t>
      </w:r>
      <w:r>
        <w:t xml:space="preserve"> </w:t>
      </w:r>
      <w:r>
        <w:t xml:space="preserve">из Москвы; в программах Зографских чтений она по-прежнему указывает «Москва».</w:t>
      </w:r>
      <w:r>
        <w:t xml:space="preserve"> </w:t>
      </w:r>
      <w:r>
        <w:t xml:space="preserve">Речь идет о переходе от институционального статуса к статусу независимого</w:t>
      </w:r>
      <w:r>
        <w:t xml:space="preserve"> </w:t>
      </w:r>
      <w:r>
        <w:t xml:space="preserve">исследователя при сохранении географической базы.</w:t>
      </w:r>
    </w:p>
    <w:p>
      <w:pPr>
        <w:pStyle w:val="FirstParagraph"/>
      </w:pPr>
      <w:r>
        <w:t xml:space="preserve">Отдельная проверка перекрестной когорты показывает, что</w:t>
      </w:r>
      <w:r>
        <w:t xml:space="preserve"> </w:t>
      </w:r>
      <w:r>
        <w:rPr>
          <w:b/>
          <w:bCs/>
        </w:rPr>
        <w:t xml:space="preserve">ИКВИА/ВШЭ действительно</w:t>
      </w:r>
      <w:r>
        <w:rPr>
          <w:b/>
          <w:bCs/>
        </w:rPr>
        <w:t xml:space="preserve"> </w:t>
      </w:r>
      <w:r>
        <w:rPr>
          <w:b/>
          <w:bCs/>
        </w:rPr>
        <w:t xml:space="preserve">стал одним из мостов между двумя площадками, но не единственным</w:t>
      </w:r>
      <w:r>
        <w:t xml:space="preserve">. Среди 38 ученых,</w:t>
      </w:r>
      <w:r>
        <w:t xml:space="preserve"> </w:t>
      </w:r>
      <w:r>
        <w:t xml:space="preserve">выступавших и на Зографских, и на Рериховских чтениях, 12 имеют в истории аффилиаций</w:t>
      </w:r>
      <w:r>
        <w:t xml:space="preserve"> </w:t>
      </w:r>
      <w:r>
        <w:t xml:space="preserve">ИВ РАН, 8 — ИКВИА/ВШЭ и 8 — ИСАА МГУ. Тематически участники с аффилиацией</w:t>
      </w:r>
      <w:r>
        <w:t xml:space="preserve"> </w:t>
      </w:r>
      <w:r>
        <w:t xml:space="preserve">ИКВИА/ВШЭ, как правило, не «подстраивают» доклады под площадку: у 7 из 8 ведущая</w:t>
      </w:r>
      <w:r>
        <w:t xml:space="preserve"> </w:t>
      </w:r>
      <w:r>
        <w:t xml:space="preserve">дисциплинарная категория L1 совпадает на Зографских и Рериховских чтениях, а</w:t>
      </w:r>
      <w:r>
        <w:t xml:space="preserve"> </w:t>
      </w:r>
      <w:r>
        <w:t xml:space="preserve">медианное косинусное сходство L1-профилей составляет 0.976. Это скорее картина</w:t>
      </w:r>
      <w:r>
        <w:t xml:space="preserve"> </w:t>
      </w:r>
      <w:r>
        <w:t xml:space="preserve">межплощадочной циркуляции устойчивых исследовательских специализаций, чем адаптации</w:t>
      </w:r>
      <w:r>
        <w:t xml:space="preserve"> </w:t>
      </w:r>
      <w:r>
        <w:t xml:space="preserve">к локальному вкусу каждой конференции.</w:t>
      </w:r>
    </w:p>
    <w:bookmarkStart w:id="34" w:name="Xd7f0680778508d9914b13ed83aee009f1233ee4"/>
    <w:p>
      <w:pPr>
        <w:pStyle w:val="Heading3"/>
      </w:pPr>
      <w:r>
        <w:t xml:space="preserve">6.1. Метод подсчета: простое и фракционное институциональное участие</w:t>
      </w:r>
    </w:p>
    <w:p>
      <w:pPr>
        <w:pStyle w:val="FirstParagraph"/>
      </w:pPr>
      <w:r>
        <w:t xml:space="preserve">При анализе институциональной структуры научных сообществ важным методологическим вопросом является выбор способа учета докладов. Традиционный «простой» метод (full counting) приписывает единицу каждому учреждению, указанному автором (или соавторами). В то же время «фракционный» метод (fractional counting) делит вес одного доклада поровну между всеми соавторами и всеми заявленными ими аффилиациями, что позволяет избежать искусственного завышения роли многоаффилированных авторов и крупных коллективных работ.</w:t>
      </w:r>
    </w:p>
    <w:p>
      <w:pPr>
        <w:pStyle w:val="BodyText"/>
      </w:pPr>
      <w:r>
        <w:t xml:space="preserve">Для оценки влияния выбора метрики мы сравнили результаты простого и фракционного подсчетов для ведущих организаций на обеих площадках. Полученные данные показывают минимальные расхождения: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ИВ РАН</w:t>
      </w:r>
      <w:r>
        <w:t xml:space="preserve">: простой счет — 160.0 докладов, фракционный — 158.000;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СПбГУ</w:t>
      </w:r>
      <w:r>
        <w:t xml:space="preserve">: простой счет — 38.0 докладов, фракционный — 38.000;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НИУ ВШЭ (ИКВИА)</w:t>
      </w:r>
      <w:r>
        <w:t xml:space="preserve">: простой счет — 18.0 докладов, фракционный — 16.000;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ИВР РАН</w:t>
      </w:r>
      <w:r>
        <w:t xml:space="preserve">: простой счет — 2.0 докладов, фракционный — 2.000.</w:t>
      </w:r>
    </w:p>
    <w:p>
      <w:pPr>
        <w:pStyle w:val="BodyText"/>
      </w:pPr>
      <w:r>
        <w:t xml:space="preserve">Такое совпадение объясняется спецификой индологического сообщества. Более 99% представленных на чтениях докладов являются индивидуальными (одноавторскими), а случаи указания исследователями двух и более мест работы носят единичный характер. Таким образом, переход к дробному учету не вносит искажений в общую иерархию институтов.</w:t>
      </w:r>
    </w:p>
    <w:p>
      <w:pPr>
        <w:pStyle w:val="BodyText"/>
      </w:pPr>
      <w:r>
        <w:t xml:space="preserve">Однако следует отметить существенное источниковедческое ограничение: если программы Рериховских чтений содержат детальные сведения о местах работы докладчиков, то организаторы Зографских чтений традиционно указывают в печатных и электронных программах только город проживания автора, опуская институциональную привязку (которая восстанавливалась нами ретроспективно по внешним базам данных и биографическим сведениям).</w:t>
      </w:r>
    </w:p>
    <w:bookmarkEnd w:id="34"/>
    <w:bookmarkStart w:id="35" w:name="X402fd9c8083dd6be51cb3dd914c075e2c19c367"/>
    <w:p>
      <w:pPr>
        <w:pStyle w:val="Heading3"/>
      </w:pPr>
      <w:r>
        <w:t xml:space="preserve">6.2. Географическое притяжение и когортная выживаемость региональных исследователей</w:t>
      </w:r>
    </w:p>
    <w:p>
      <w:pPr>
        <w:pStyle w:val="FirstParagraph"/>
      </w:pPr>
      <w:r>
        <w:t xml:space="preserve">Институциональный ландшафт тесно переплетен с географическим фактором. Хотя обе конференции заявляются как всероссийские (и международные), анализ реального распределения докладчиков по городам демонстрирует выраженную поляризацию и «гравитационный» эффект столиц:</w:t>
      </w:r>
      <w:r>
        <w:t xml:space="preserve"> </w:t>
      </w:r>
      <w:r>
        <w:t xml:space="preserve">* На</w:t>
      </w:r>
      <w:r>
        <w:t xml:space="preserve"> </w:t>
      </w:r>
      <w:r>
        <w:rPr>
          <w:b/>
          <w:bCs/>
        </w:rPr>
        <w:t xml:space="preserve">Зографских чтениях</w:t>
      </w:r>
      <w:r>
        <w:t xml:space="preserve"> </w:t>
      </w:r>
      <w:r>
        <w:t xml:space="preserve">в Санкт-Петербурге доля петербургских докладчиков составляет 43.8%, в то время как москвичи составляют практически равную им долю — 42.6%. Региональные и зарубежные участники обеспечивают лишь 13.6% докладов.</w:t>
      </w:r>
      <w:r>
        <w:t xml:space="preserve"> </w:t>
      </w:r>
      <w:r>
        <w:t xml:space="preserve">* На</w:t>
      </w:r>
      <w:r>
        <w:t xml:space="preserve"> </w:t>
      </w:r>
      <w:r>
        <w:rPr>
          <w:b/>
          <w:bCs/>
        </w:rPr>
        <w:t xml:space="preserve">Рериховских чтениях</w:t>
      </w:r>
      <w:r>
        <w:t xml:space="preserve"> </w:t>
      </w:r>
      <w:r>
        <w:t xml:space="preserve">в Москве доминирование столичной школы носит абсолютный характер: 71.8% докладов приходится на москвичей, 19.2% — на регионы и зарубежье, и лишь 9.0% — на исследователей из Санкт-Петербурга.</w:t>
      </w:r>
    </w:p>
    <w:p>
      <w:pPr>
        <w:pStyle w:val="BodyText"/>
      </w:pPr>
      <w:r>
        <w:t xml:space="preserve">Таким образом, Санкт-Петербург выступает как паритетная площадка для диалога двух столиц, тогда как Москва ориентирована преимущественно на внутреннее воспроизводство и гораздо слабее вовлекает петербургских коллег.</w:t>
      </w:r>
    </w:p>
    <w:p>
      <w:pPr>
        <w:pStyle w:val="BodyText"/>
      </w:pPr>
      <w:r>
        <w:t xml:space="preserve">Ещё более показательна метрика «когортной выживаемости» авторов — доля участников, выступивших на конференциях как минимум в течение двух разных лет. Наш анализ выявил значительный разрыв в стабильности участия:</w:t>
      </w:r>
      <w:r>
        <w:t xml:space="preserve"> </w:t>
      </w:r>
      <w:r>
        <w:t xml:space="preserve">* Участники из Москвы: выживаемость составляет 59.5%;</w:t>
      </w:r>
      <w:r>
        <w:t xml:space="preserve"> </w:t>
      </w:r>
      <w:r>
        <w:t xml:space="preserve">* Участники из Санкт-Петербурга: выживаемость составляет 58.1%;</w:t>
      </w:r>
      <w:r>
        <w:t xml:space="preserve"> </w:t>
      </w:r>
      <w:r>
        <w:t xml:space="preserve">* Региональные и зарубежные участники: выживаемость составляет лишь 36.1%.</w:t>
      </w:r>
    </w:p>
    <w:p>
      <w:pPr>
        <w:pStyle w:val="BodyText"/>
      </w:pPr>
      <w:r>
        <w:t xml:space="preserve">Критерий хи-квадрат подтверждает высокую статистическую значимость различий в удержании столичных и региональных участников (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0.0191</m:t>
        </m:r>
      </m:oMath>
      <w:r>
        <w:t xml:space="preserve">). Региональное участие носит преимущественно эпизодический характер (разовые выступления без возвращения в когорту), что свидетельствует о выраженной периферийности региональных научных центров и отсутствии устойчивой интеграции их представителей в ядро индологического сообщества.</w:t>
      </w:r>
    </w:p>
    <w:bookmarkEnd w:id="35"/>
    <w:bookmarkEnd w:id="36"/>
    <w:bookmarkStart w:id="43" w:name="демография-и-поколения"/>
    <w:p>
      <w:pPr>
        <w:pStyle w:val="Heading2"/>
      </w:pPr>
      <w:r>
        <w:t xml:space="preserve">7. Демография и поколения</w:t>
      </w:r>
    </w:p>
    <w:p>
      <w:pPr>
        <w:pStyle w:val="FirstParagraph"/>
      </w:pPr>
      <w:r>
        <w:t xml:space="preserve">Для всех 220 уникальных ученых в нашей базе полностью установлен год рождения.</w:t>
      </w:r>
      <w:r>
        <w:rPr>
          <w:vertAlign w:val="superscript"/>
        </w:rPr>
        <w:t xml:space="preserve">2</w:t>
      </w:r>
      <w:r>
        <w:t xml:space="preserve"> </w:t>
      </w:r>
      <w:r>
        <w:t xml:space="preserve">На этом основании можно вычислить медианный возраст участников каждой конференции в год ее проведения на сплошном массиве данных, полностью исключив селективное смещение выборки.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Зограф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Зограф медиана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Рерих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Рерих медиана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</w:t>
            </w:r>
          </w:p>
        </w:tc>
      </w:tr>
    </w:tbl>
    <w:p>
      <w:pPr>
        <w:pStyle w:val="BodyText"/>
      </w:pPr>
      <w:r>
        <w:t xml:space="preserve">Анализ сплошных биографических данных выявил принципиально иную картину, опровергающую прежние выводы, основанные на частичных выборках (где медиана 2025 г. завышалась до 55 и 53 лет). В сопоставимой точке 2012–2025 гг. медианный возраст на Зографских чтениях вырос всего лишь с 43.0 до 47.5 лет, а на Рериховских — с 46.5 до 47.5 лет. Это свидетельствует о высокой устойчивости отечественной индологии к старению и о постоянном, но скрытом ранее притоке молодых исследователей. Искусственный «эффект старения» в неполных данных объяснялся систематическим отсутствием сведений о годах рождения молодых и эпизодических участников (периферии когорты) в общедоступных академических справочниках.</w:t>
      </w:r>
    </w:p>
    <w:p>
      <w:pPr>
        <w:pStyle w:val="BodyText"/>
      </w:pPr>
      <w:r>
        <w:t xml:space="preserve">Демографически обе площадки в 2025 г. выровнялись на медиане в 47.5 лет. Это подтверждает, что несмотря на старение исторического ядра (см. § 4), периферия и регулярные новые дебютанты успешно компенсируют демографические потери.</w:t>
      </w:r>
    </w:p>
    <w:p>
      <w:pPr>
        <w:pStyle w:val="CaptionedFigure"/>
      </w:pPr>
      <w:r>
        <w:drawing>
          <wp:inline>
            <wp:extent cx="5334000" cy="3225024"/>
            <wp:effectExtent b="0" l="0" r="0" t="0"/>
            <wp:docPr descr="Рис. 2. Покрытие годом рождения является полным по всем частотным группам" title="" id="38" name="Picture"/>
            <a:graphic>
              <a:graphicData uri="http://schemas.openxmlformats.org/drawingml/2006/picture">
                <pic:pic>
                  <pic:nvPicPr>
                    <pic:cNvPr descr="figures/birth_year_cover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Покрытие годом рождения является полным по всем частотным группам</w:t>
      </w:r>
    </w:p>
    <w:p>
      <w:pPr>
        <w:pStyle w:val="BodyText"/>
      </w:pPr>
      <w:r>
        <w:t xml:space="preserve">Сплошная архивная верификация позволила снять прежние методические ограничения: Рис. 2 теперь демонстрирует 100% покрытие годом рождения по всем частотным когортам участников. Любые возрастные обобщения теперь описывают не только устойчивое ядро конференций, но и всю периферийную когорту в равной степени.</w:t>
      </w:r>
    </w:p>
    <w:p>
      <w:pPr>
        <w:pStyle w:val="CaptionedFigure"/>
      </w:pPr>
      <w:r>
        <w:drawing>
          <wp:inline>
            <wp:extent cx="5334000" cy="3264505"/>
            <wp:effectExtent b="0" l="0" r="0" t="0"/>
            <wp:docPr descr="Рис. 3. Возраст первого наблюдаемого выступления в корпусе" title="" id="41" name="Picture"/>
            <a:graphic>
              <a:graphicData uri="http://schemas.openxmlformats.org/drawingml/2006/picture">
                <pic:pic>
                  <pic:nvPicPr>
                    <pic:cNvPr descr="hypothesis_output/age_at_debu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Возраст первого наблюдаемого выступления в корпусе</w:t>
      </w:r>
    </w:p>
    <w:p>
      <w:pPr>
        <w:pStyle w:val="BodyText"/>
      </w:pPr>
      <w:r>
        <w:t xml:space="preserve">Анализ возраста первого наблюдаемого выступления в корпусе (Рис. 3) теперь охватывает всех 220 ученых. Медиана возраста дебюта статистически значимо снижается по трем периодам: с 47.0 лет в 2004–2010 гг. до 36.0 лет в 2011–2017 гг. и сохраняется на уровне 36.0 лет в 2018–2026 гг. Этот нисходящий тренд является статистически достоверным: корреляция Спирмена между годом дебюта и возрастом дебюта равна $</w:t>
      </w:r>
      <w:r>
        <w:t xml:space="preserve"> </w:t>
      </w:r>
      <w:r>
        <w:t xml:space="preserve">ho = -0.19$ (</w:t>
      </w:r>
      <m:oMath>
        <m:r>
          <m:t>p</m:t>
        </m:r>
        <m:r>
          <m:rPr>
            <m:sty m:val="p"/>
          </m:rPr>
          <m:t>=</m:t>
        </m:r>
        <m:r>
          <m:t>0.0048</m:t>
        </m:r>
      </m:oMath>
      <w:r>
        <w:t xml:space="preserve">), а сравнение трех периодов по критерию Краскела-Уоллиса подтверждает значимость различий (</w:t>
      </w:r>
      <m:oMath>
        <m:r>
          <m:t>H</m:t>
        </m:r>
        <m:r>
          <m:rPr>
            <m:sty m:val="p"/>
          </m:rPr>
          <m:t>=</m:t>
        </m:r>
        <m:r>
          <m:t>7.836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0.0199</m:t>
        </m:r>
      </m:oMath>
      <w:r>
        <w:t xml:space="preserve">). Таким образом, гипотеза о постепенном омоложении входа новых участников полностью подтверждается на репрезентативном массиве данных.</w:t>
      </w:r>
    </w:p>
    <w:p>
      <w:pPr>
        <w:pStyle w:val="BodyText"/>
      </w:pPr>
      <w:r>
        <w:t xml:space="preserve">К отдельным случаям заметных уходов из активной деятельности или потерь за период</w:t>
      </w:r>
      <w:r>
        <w:t xml:space="preserve"> </w:t>
      </w:r>
      <w:r>
        <w:t xml:space="preserve">исследования относятся: А. М. Дубянский (1941–2020), Ю. М. Алиханова (последнее</w:t>
      </w:r>
      <w:r>
        <w:t xml:space="preserve"> </w:t>
      </w:r>
      <w:r>
        <w:t xml:space="preserve">выступление 2019 г.), С. В. Кулланда (1954–2020), О. П. Вечерина (1960–2023) и ряд</w:t>
      </w:r>
      <w:r>
        <w:t xml:space="preserve"> </w:t>
      </w:r>
      <w:r>
        <w:t xml:space="preserve">других. Для В. В. Вертоградовой (род. 1933) в нашей базе после 2024 г. выступления</w:t>
      </w:r>
      <w:r>
        <w:t xml:space="preserve"> </w:t>
      </w:r>
      <w:r>
        <w:t xml:space="preserve">не фиксируются; это следует понимать как прекращение наблюдаемой активности в корпусе,</w:t>
      </w:r>
      <w:r>
        <w:t xml:space="preserve"> </w:t>
      </w:r>
      <w:r>
        <w:t xml:space="preserve">а не как биографическую дату.</w:t>
      </w:r>
    </w:p>
    <w:bookmarkEnd w:id="43"/>
    <w:bookmarkStart w:id="51" w:name="тематическая-карта"/>
    <w:p>
      <w:pPr>
        <w:pStyle w:val="Heading2"/>
      </w:pPr>
      <w:r>
        <w:t xml:space="preserve">8. Тематическая карта</w:t>
      </w:r>
    </w:p>
    <w:p>
      <w:pPr>
        <w:pStyle w:val="FirstParagraph"/>
      </w:pPr>
      <w:r>
        <w:t xml:space="preserve">Тематический анализ выполнен по четырем независимым осям. На первой оси (L1) каждому</w:t>
      </w:r>
      <w:r>
        <w:t xml:space="preserve"> </w:t>
      </w:r>
      <w:r>
        <w:t xml:space="preserve">докладу присваивается дисциплинарная категория. На второй (L2) — историко-культурный</w:t>
      </w:r>
      <w:r>
        <w:t xml:space="preserve"> </w:t>
      </w:r>
      <w:r>
        <w:t xml:space="preserve">период. На третьей (L3) — характер материала. На четвертой (L4) — характер доклада.</w:t>
      </w:r>
    </w:p>
    <w:p>
      <w:pPr>
        <w:pStyle w:val="BodyText"/>
      </w:pPr>
      <w:r>
        <w:t xml:space="preserve">Замечание о номенклатуре. Дисциплинарная категория «тибетология» выделена нами как</w:t>
      </w:r>
      <w:r>
        <w:t xml:space="preserve"> </w:t>
      </w:r>
      <w:r>
        <w:t xml:space="preserve">самостоятельная в силу институциональной значимости тибетских исследований для</w:t>
      </w:r>
      <w:r>
        <w:t xml:space="preserve"> </w:t>
      </w:r>
      <w:r>
        <w:t xml:space="preserve">традиции Рериховских чтений (наследие Ю. Н. Рериха). Симметрично возможна была бы</w:t>
      </w:r>
      <w:r>
        <w:t xml:space="preserve"> </w:t>
      </w:r>
      <w:r>
        <w:t xml:space="preserve">отдельная категория «непаловедение» и «индология в узком смысле»; в нашей разметке</w:t>
      </w:r>
      <w:r>
        <w:t xml:space="preserve"> </w:t>
      </w:r>
      <w:r>
        <w:t xml:space="preserve">непальские и шри-ланкийские темы относятся, в зависимости от содержания, к</w:t>
      </w:r>
      <w:r>
        <w:t xml:space="preserve"> </w:t>
      </w:r>
      <w:r>
        <w:t xml:space="preserve">«религиоведению», «этнографии» или «истории». Граница между «религиоведением» и</w:t>
      </w:r>
      <w:r>
        <w:t xml:space="preserve"> </w:t>
      </w:r>
      <w:r>
        <w:t xml:space="preserve">«тибетологией» неизбежно условна: значительная часть тибето-буддийской тематики</w:t>
      </w:r>
      <w:r>
        <w:t xml:space="preserve"> </w:t>
      </w:r>
      <w:r>
        <w:t xml:space="preserve">кодируется как «религиоведение», и абсолютная величина категории «тибетология» в</w:t>
      </w:r>
      <w:r>
        <w:t xml:space="preserve"> </w:t>
      </w:r>
      <w:r>
        <w:t xml:space="preserve">обеих площадках занижена.</w:t>
      </w:r>
    </w:p>
    <w:p>
      <w:pPr>
        <w:pStyle w:val="BodyText"/>
      </w:pPr>
      <w:r>
        <w:t xml:space="preserve">Тематические подзаголовки самих программ. Зографские чтения с 1994 г. идут под</w:t>
      </w:r>
      <w:r>
        <w:t xml:space="preserve"> </w:t>
      </w:r>
      <w:r>
        <w:t xml:space="preserve">устойчивым подзаголовком</w:t>
      </w:r>
      <w:r>
        <w:t xml:space="preserve"> </w:t>
      </w:r>
      <w:r>
        <w:rPr>
          <w:b/>
          <w:bCs/>
        </w:rPr>
        <w:t xml:space="preserve">«Проблемы интерпретации традиционного индийского текста»</w:t>
      </w:r>
      <w:r>
        <w:t xml:space="preserve">,</w:t>
      </w:r>
      <w:r>
        <w:t xml:space="preserve"> </w:t>
      </w:r>
      <w:r>
        <w:t xml:space="preserve">не меняющимся из года в год. Рериховские чтения, напротив, варьируют тематический</w:t>
      </w:r>
      <w:r>
        <w:t xml:space="preserve"> </w:t>
      </w:r>
      <w:r>
        <w:t xml:space="preserve">подзаголовок: например, программа LXIV (2024 г.) шла под заголовком «Древняя и</w:t>
      </w:r>
      <w:r>
        <w:t xml:space="preserve"> </w:t>
      </w:r>
      <w:r>
        <w:t xml:space="preserve">средневековая Индия и Центральная Азия. История. Филология. Культура», а программа</w:t>
      </w:r>
      <w:r>
        <w:t xml:space="preserve"> </w:t>
      </w:r>
      <w:r>
        <w:t xml:space="preserve">LXV (2025 г.) — под более узким «Проблемы формирования текста и культуры древней и</w:t>
      </w:r>
      <w:r>
        <w:t xml:space="preserve"> </w:t>
      </w:r>
      <w:r>
        <w:t xml:space="preserve">средневековой Индии и Центральной Азии». Это смещение от «культурно-исторического»</w:t>
      </w:r>
      <w:r>
        <w:t xml:space="preserve"> </w:t>
      </w:r>
      <w:r>
        <w:t xml:space="preserve">к «текстологическому» позиционированию, как мы видим из тематической разметки самих</w:t>
      </w:r>
      <w:r>
        <w:t xml:space="preserve"> </w:t>
      </w:r>
      <w:r>
        <w:t xml:space="preserve">докладов (см. ниже), отражается на содержании программ лишь частично: основная</w:t>
      </w:r>
      <w:r>
        <w:t xml:space="preserve"> </w:t>
      </w:r>
      <w:r>
        <w:t xml:space="preserve">тематическая структура (преобладание классического и средневекового периодов,</w:t>
      </w:r>
      <w:r>
        <w:t xml:space="preserve"> </w:t>
      </w:r>
      <w:r>
        <w:t xml:space="preserve">лидерство религиоведческой и литературоведческой тематики) сохраняется.</w:t>
      </w:r>
    </w:p>
    <w:p>
      <w:pPr>
        <w:pStyle w:val="BodyText"/>
      </w:pPr>
      <w:r>
        <w:t xml:space="preserve">Формальная проверка распределения L2 по группам извлеченных из HTML подзаголовков</w:t>
      </w:r>
      <w:r>
        <w:t xml:space="preserve"> </w:t>
      </w:r>
      <w:r>
        <w:t xml:space="preserve">Рериховских чтений не дает сильного эффекта (χ² = 8.456, p = 0.749, V = 0.109).</w:t>
      </w:r>
      <w:r>
        <w:t xml:space="preserve"> </w:t>
      </w:r>
      <w:r>
        <w:t xml:space="preserve">Иначе говоря, годовой подзаголовок полезен как источник самоописания программы, но</w:t>
      </w:r>
      <w:r>
        <w:t xml:space="preserve"> </w:t>
      </w:r>
      <w:r>
        <w:t xml:space="preserve">сам по себе плохо объясняет тематическую структуру докладов.</w:t>
      </w:r>
    </w:p>
    <w:p>
      <w:pPr>
        <w:pStyle w:val="CaptionedFigure"/>
      </w:pPr>
      <w:r>
        <w:drawing>
          <wp:inline>
            <wp:extent cx="5334000" cy="3299381"/>
            <wp:effectExtent b="0" l="0" r="0" t="0"/>
            <wp:docPr descr="Рис. 4. Тематическая матрица L1 × L2" title="" id="45" name="Picture"/>
            <a:graphic>
              <a:graphicData uri="http://schemas.openxmlformats.org/drawingml/2006/picture">
                <pic:pic>
                  <pic:nvPicPr>
                    <pic:cNvPr descr="figures/theme_heatmap_l1_l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Тематическая матрица L1 × L2</w:t>
      </w:r>
    </w:p>
    <w:p>
      <w:pPr>
        <w:pStyle w:val="BodyText"/>
      </w:pPr>
      <w:r>
        <w:t xml:space="preserve">Матрица L1 × L2 делает видимым то, что в таблицах ниже приходится описывать словами:</w:t>
      </w:r>
      <w:r>
        <w:t xml:space="preserve"> </w:t>
      </w:r>
      <w:r>
        <w:t xml:space="preserve">у Зографских чтений наиболее плотные ячейки связаны с классической философией,</w:t>
      </w:r>
      <w:r>
        <w:t xml:space="preserve"> </w:t>
      </w:r>
      <w:r>
        <w:t xml:space="preserve">классической литературой и средневековым религиоведением, тогда как у Рериховских</w:t>
      </w:r>
      <w:r>
        <w:t xml:space="preserve"> </w:t>
      </w:r>
      <w:r>
        <w:t xml:space="preserve">чтений центр тяжести сдвинут к средневековому религиоведению, средневековой истории</w:t>
      </w:r>
      <w:r>
        <w:t xml:space="preserve"> </w:t>
      </w:r>
      <w:r>
        <w:t xml:space="preserve">и классико-средневековой литературе.</w:t>
      </w:r>
    </w:p>
    <w:bookmarkStart w:id="47" w:name="дисциплина-l1-два-разных-профиля"/>
    <w:p>
      <w:pPr>
        <w:pStyle w:val="Heading3"/>
      </w:pPr>
      <w:r>
        <w:t xml:space="preserve">8.1. Дисциплина (L1): два разных профиля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Дисциплина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Рерих, %</w:t>
            </w:r>
          </w:p>
        </w:tc>
        <w:tc>
          <w:tcPr/>
          <w:p>
            <w:pPr>
              <w:pStyle w:val="Compact"/>
            </w:pPr>
            <w:r>
              <w:t xml:space="preserve">Разрыв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Зограф 1.8×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Религиоведение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Рерих 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Искусство и археология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Рерих 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Этнография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Тибетология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Рерих 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 / прикладное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Главное наблюдение: тематические профили двух площадок различаются не маргинально,</w:t>
      </w:r>
      <w:r>
        <w:t xml:space="preserve"> </w:t>
      </w:r>
      <w:r>
        <w:t xml:space="preserve">а структурно.</w:t>
      </w:r>
      <w:r>
        <w:t xml:space="preserve"> </w:t>
      </w:r>
      <w:r>
        <w:rPr>
          <w:b/>
          <w:bCs/>
        </w:rPr>
        <w:t xml:space="preserve">Зограф</w:t>
      </w:r>
      <w:r>
        <w:t xml:space="preserve"> </w:t>
      </w:r>
      <w:r>
        <w:t xml:space="preserve">концентрирует чуть менее двух третей своих докладов в трех</w:t>
      </w:r>
      <w:r>
        <w:t xml:space="preserve"> </w:t>
      </w:r>
      <w:r>
        <w:t xml:space="preserve">дисциплинах — литература, философия, религиоведение.</w:t>
      </w:r>
      <w:r>
        <w:t xml:space="preserve"> </w:t>
      </w:r>
      <w:r>
        <w:rPr>
          <w:b/>
          <w:bCs/>
        </w:rPr>
        <w:t xml:space="preserve">Рерих</w:t>
      </w:r>
      <w:r>
        <w:t xml:space="preserve"> </w:t>
      </w:r>
      <w:r>
        <w:t xml:space="preserve">также имеет тройку</w:t>
      </w:r>
      <w:r>
        <w:t xml:space="preserve"> </w:t>
      </w:r>
      <w:r>
        <w:t xml:space="preserve">лидеров, но в ней философию замещает история, и литература уступает первое место</w:t>
      </w:r>
      <w:r>
        <w:t xml:space="preserve"> </w:t>
      </w:r>
      <w:r>
        <w:t xml:space="preserve">религиоведению.</w:t>
      </w:r>
      <w:r>
        <w:t xml:space="preserve"> </w:t>
      </w:r>
      <w:r>
        <w:rPr>
          <w:b/>
          <w:bCs/>
        </w:rPr>
        <w:t xml:space="preserve">Доля философских докладов в Зографе почти вдвое превышает</w:t>
      </w:r>
      <w:r>
        <w:rPr>
          <w:b/>
          <w:bCs/>
        </w:rPr>
        <w:t xml:space="preserve"> </w:t>
      </w:r>
      <w:r>
        <w:rPr>
          <w:b/>
          <w:bCs/>
        </w:rPr>
        <w:t xml:space="preserve">рериховскую (21.7 против 12.1%)</w:t>
      </w:r>
      <w:r>
        <w:t xml:space="preserve">, и обратное соотношение (тоже почти двукратное)</w:t>
      </w:r>
      <w:r>
        <w:t xml:space="preserve"> </w:t>
      </w:r>
      <w:r>
        <w:t xml:space="preserve">наблюдается для истории, искусства, археологии и тибетологии. Заметим: тибетология,</w:t>
      </w:r>
      <w:r>
        <w:t xml:space="preserve"> </w:t>
      </w:r>
      <w:r>
        <w:t xml:space="preserve">хотя и стабильно более представлена на Рериховских чтениях, в абсолютном выражении</w:t>
      </w:r>
      <w:r>
        <w:t xml:space="preserve"> </w:t>
      </w:r>
      <w:r>
        <w:t xml:space="preserve">скромна (3.1% против 1.5% Зографа), и значительная часть тибето-буддийской тематики</w:t>
      </w:r>
      <w:r>
        <w:t xml:space="preserve"> </w:t>
      </w:r>
      <w:r>
        <w:t xml:space="preserve">учитывается как «религиоведение».</w:t>
      </w:r>
    </w:p>
    <w:p>
      <w:pPr>
        <w:pStyle w:val="BodyText"/>
      </w:pPr>
      <w:r>
        <w:t xml:space="preserve">В какой мере эти различия определяются конкретными докладчиками, а в какой —</w:t>
      </w:r>
      <w:r>
        <w:t xml:space="preserve"> </w:t>
      </w:r>
      <w:r>
        <w:t xml:space="preserve">тематической ориентацией самих чтений? Методологически мы проверили эту гипотезу,</w:t>
      </w:r>
      <w:r>
        <w:t xml:space="preserve"> </w:t>
      </w:r>
      <w:r>
        <w:t xml:space="preserve">рассчитав совокупный вклад каждого участника в каждую дисциплинарную категорию</w:t>
      </w:r>
      <w:r>
        <w:t xml:space="preserve"> </w:t>
      </w:r>
      <w:r>
        <w:t xml:space="preserve">(число его докладов по философии, истории, религиоведению и т.д.). Результат</w:t>
      </w:r>
      <w:r>
        <w:t xml:space="preserve"> </w:t>
      </w:r>
      <w:r>
        <w:t xml:space="preserve">показывает, что вклад в каждую дисциплинарную категорию распределен между</w:t>
      </w:r>
      <w:r>
        <w:t xml:space="preserve"> </w:t>
      </w:r>
      <w:r>
        <w:t xml:space="preserve">десятками докладчиков (например, в философию Зографских чтений вносят вклад</w:t>
      </w:r>
      <w:r>
        <w:t xml:space="preserve"> </w:t>
      </w:r>
      <w:r>
        <w:t xml:space="preserve">В. Г. Лысенко, С. Л. Бурмистров, В. К. Шохин, А. В. Парибок, Р. В. Псху, А. А. Игнатьев,</w:t>
      </w:r>
      <w:r>
        <w:t xml:space="preserve"> </w:t>
      </w:r>
      <w:r>
        <w:t xml:space="preserve">Е. А. Десницкая, Л. И. Титлин и др.), и ни один из них не определяет профиль в целом.</w:t>
      </w:r>
      <w:r>
        <w:t xml:space="preserve"> </w:t>
      </w:r>
      <w:r>
        <w:t xml:space="preserve">Случаи систематической смены тематического профиля одним и тем же ученым редки:</w:t>
      </w:r>
      <w:r>
        <w:t xml:space="preserve"> </w:t>
      </w:r>
      <w:r>
        <w:t xml:space="preserve">большинство участников сохраняют дисциплинарную специализацию на протяжении</w:t>
      </w:r>
      <w:r>
        <w:t xml:space="preserve"> </w:t>
      </w:r>
      <w:r>
        <w:t xml:space="preserve">многолетнего участия. Это означает, что тематическая структура двух чтений отражает</w:t>
      </w:r>
      <w:r>
        <w:t xml:space="preserve"> </w:t>
      </w:r>
      <w:r>
        <w:t xml:space="preserve">не индивидуальные предпочтения отдельных докладчиков, а устойчивую коллективную</w:t>
      </w:r>
      <w:r>
        <w:t xml:space="preserve"> </w:t>
      </w:r>
      <w:r>
        <w:t xml:space="preserve">ориентацию каждой площадки.</w:t>
      </w:r>
    </w:p>
    <w:p>
      <w:pPr>
        <w:pStyle w:val="BodyText"/>
      </w:pPr>
      <w:r>
        <w:t xml:space="preserve">Статистически различие дисциплинарных профилей устойчиво: для распределения L1</w:t>
      </w:r>
      <w:r>
        <w:t xml:space="preserve"> </w:t>
      </w:r>
      <w:r>
        <w:t xml:space="preserve">χ² = 55.26, p ≈ 1.09e-8, V Крамера ≈ 0.248. Проверка чувствительности не меняет</w:t>
      </w:r>
      <w:r>
        <w:t xml:space="preserve"> </w:t>
      </w:r>
      <w:r>
        <w:t xml:space="preserve">вывод: если исключить записи с confidence &lt; 0.8, эффект остается значимым</w:t>
      </w:r>
      <w:r>
        <w:t xml:space="preserve"> </w:t>
      </w:r>
      <w:r>
        <w:t xml:space="preserve">(χ² = 43.75, p ≈ 1.6e-6, V ≈ 0.228); если исключить проблемные для разметки</w:t>
      </w:r>
      <w:r>
        <w:t xml:space="preserve"> </w:t>
      </w:r>
      <w:r>
        <w:t xml:space="preserve">Зографские чтения 2022 г. и предварительную программу 2026 г., результат также</w:t>
      </w:r>
      <w:r>
        <w:t xml:space="preserve"> </w:t>
      </w:r>
      <w:r>
        <w:t xml:space="preserve">сохраняется (χ² = 42.86, p ≈ 9.3e-7, V ≈ 0.231). Поэтому тематическая асимметрия</w:t>
      </w:r>
      <w:r>
        <w:t xml:space="preserve"> </w:t>
      </w:r>
      <w:r>
        <w:t xml:space="preserve">не является артефактом нескольких неполных заголовков.</w:t>
      </w:r>
    </w:p>
    <w:p>
      <w:pPr>
        <w:pStyle w:val="BodyText"/>
      </w:pPr>
      <w:r>
        <w:t xml:space="preserve">Доминирование в тематических профилях обеих площадок филологических, философских и исторических исследований (в совокупности охватывающих более 80% докладов) отражает общую специфику выживания отечественной индологии. В условиях государственной политики «публикационной гонки» гуманитарные науки оказались в наиболее «незавидном положении» из-за структурной дискриминации в зарубежных базах данных [Гринёв, 2019, с. 994–995]. Отсутствие импакт-факторов у гуманитарных изданий в WoS Core Collection и жесткий упор на журнальные статьи привели к вымыванию традиционных для этой области форматов (монографий, переводов и комментированных изданий источников). В этой ситуации Зографские и Рериховские чтения стали важнейшими резервуарами для сохранения традиционного дисциплинарного ядра гуманитарного знания.</w:t>
      </w:r>
    </w:p>
    <w:bookmarkEnd w:id="47"/>
    <w:bookmarkStart w:id="48" w:name="X7c6da0816ffedb36047af32659e41f7410126e2"/>
    <w:p>
      <w:pPr>
        <w:pStyle w:val="Heading3"/>
      </w:pPr>
      <w:r>
        <w:t xml:space="preserve">8.2. Период (L2): «золотой век» против синхронной актуальности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Ведический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Колониальный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Современный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определен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</w:tbl>
    <w:p>
      <w:pPr>
        <w:pStyle w:val="BodyText"/>
      </w:pPr>
      <w:r>
        <w:t xml:space="preserve">Сравнение по периодам обнажает еще одно структурное различие, не сводящееся к</w:t>
      </w:r>
      <w:r>
        <w:t xml:space="preserve"> </w:t>
      </w:r>
      <w:r>
        <w:t xml:space="preserve">дисциплинарному.</w:t>
      </w:r>
      <w:r>
        <w:t xml:space="preserve"> </w:t>
      </w:r>
      <w:r>
        <w:rPr>
          <w:b/>
          <w:bCs/>
        </w:rPr>
        <w:t xml:space="preserve">Рериховские чтения 74% своих докладов посвящают двум периодам —</w:t>
      </w:r>
      <w:r>
        <w:rPr>
          <w:b/>
          <w:bCs/>
        </w:rPr>
        <w:t xml:space="preserve"> </w:t>
      </w:r>
      <w:r>
        <w:rPr>
          <w:b/>
          <w:bCs/>
        </w:rPr>
        <w:t xml:space="preserve">средневековому (XI–XVIII вв.) и классическому (приблизительно VI в. до н. э. — X в.</w:t>
      </w:r>
      <w:r>
        <w:rPr>
          <w:b/>
          <w:bCs/>
        </w:rPr>
        <w:t xml:space="preserve"> </w:t>
      </w:r>
      <w:r>
        <w:rPr>
          <w:b/>
          <w:bCs/>
        </w:rPr>
        <w:t xml:space="preserve">н. э.)</w:t>
      </w:r>
      <w:r>
        <w:t xml:space="preserve">, образуя то, что можно условно назвать «золотым веком» индийской культуры.</w:t>
      </w:r>
      <w:r>
        <w:t xml:space="preserve"> </w:t>
      </w:r>
      <w:r>
        <w:t xml:space="preserve">Это согласуется с подзаголовком программ Рериховских чтений последних лет («Древняя</w:t>
      </w:r>
      <w:r>
        <w:t xml:space="preserve"> </w:t>
      </w:r>
      <w:r>
        <w:t xml:space="preserve">и средневековая Индия и Центральная Азия»), хотя следует подчеркнуть, что преобладание</w:t>
      </w:r>
      <w:r>
        <w:t xml:space="preserve"> </w:t>
      </w:r>
      <w:r>
        <w:t xml:space="preserve">этого периода видно не только в формуле подзаголовка, но и в распределении докладов.</w:t>
      </w:r>
    </w:p>
    <w:p>
      <w:pPr>
        <w:pStyle w:val="BodyText"/>
      </w:pPr>
      <w:r>
        <w:t xml:space="preserve">Зографские чтения покрывают тот же «золотой век» в 56% случаев, но</w:t>
      </w:r>
      <w:r>
        <w:t xml:space="preserve"> </w:t>
      </w:r>
      <w:r>
        <w:rPr>
          <w:b/>
          <w:bCs/>
        </w:rPr>
        <w:t xml:space="preserve">остальные 44%</w:t>
      </w:r>
      <w:r>
        <w:rPr>
          <w:b/>
          <w:bCs/>
        </w:rPr>
        <w:t xml:space="preserve"> </w:t>
      </w:r>
      <w:r>
        <w:rPr>
          <w:b/>
          <w:bCs/>
        </w:rPr>
        <w:t xml:space="preserve">распределяются по всем эпохам</w:t>
      </w:r>
      <w:r>
        <w:t xml:space="preserve">, причем заметную долю занимают колониальный (8.9%) и</w:t>
      </w:r>
      <w:r>
        <w:t xml:space="preserve"> </w:t>
      </w:r>
      <w:r>
        <w:t xml:space="preserve">современный (9.8%) периоды — почти в три и в три с половиной раза больше, чем в</w:t>
      </w:r>
      <w:r>
        <w:t xml:space="preserve"> </w:t>
      </w:r>
      <w:r>
        <w:t xml:space="preserve">Рериховских чтениях. Этот факт можно интерпретировать так: Зографские чтения</w:t>
      </w:r>
      <w:r>
        <w:t xml:space="preserve"> </w:t>
      </w:r>
      <w:r>
        <w:t xml:space="preserve">исторически сохраняют интерес к индологии «новейшего времени». В частности, заметную</w:t>
      </w:r>
      <w:r>
        <w:t xml:space="preserve"> </w:t>
      </w:r>
      <w:r>
        <w:t xml:space="preserve">долю составляют доклады по литературам хинди, бенгальской и тамильской XX–XXI вв.,</w:t>
      </w:r>
      <w:r>
        <w:t xml:space="preserve"> </w:t>
      </w:r>
      <w:r>
        <w:t xml:space="preserve">по антропологии современной Индии (включая диаспорные группы), а также по истории</w:t>
      </w:r>
      <w:r>
        <w:t xml:space="preserve"> </w:t>
      </w:r>
      <w:r>
        <w:t xml:space="preserve">самой российской индологии как академической традиции — биографические и</w:t>
      </w:r>
      <w:r>
        <w:t xml:space="preserve"> </w:t>
      </w:r>
      <w:r>
        <w:t xml:space="preserve">источниковедческие штудии, посвященные таким фигурам, как А. А. Сталь-Гольштейн,</w:t>
      </w:r>
      <w:r>
        <w:t xml:space="preserve"> </w:t>
      </w:r>
      <w:r>
        <w:t xml:space="preserve">А. М. Мерварт, П. Я. Петров (1814–1875), В. А. Новикова (1918–1972), Д. Д. Елисеев и</w:t>
      </w:r>
      <w:r>
        <w:t xml:space="preserve"> </w:t>
      </w:r>
      <w:r>
        <w:t xml:space="preserve">другие.</w:t>
      </w:r>
      <w:r>
        <w:rPr>
          <w:vertAlign w:val="superscript"/>
        </w:rPr>
        <w:t xml:space="preserve">1</w:t>
      </w:r>
      <w:r>
        <w:t xml:space="preserve"> </w:t>
      </w:r>
      <w:r>
        <w:t xml:space="preserve">Эти доклады, в свою очередь, опираются на архивные материалы (изданные</w:t>
      </w:r>
      <w:r>
        <w:t xml:space="preserve"> </w:t>
      </w:r>
      <w:r>
        <w:t xml:space="preserve">Bibliotheca Buddhica и архив МАЭ), что делает их кросс-методически насыщенными.</w:t>
      </w:r>
    </w:p>
    <w:p>
      <w:pPr>
        <w:pStyle w:val="BodyText"/>
      </w:pPr>
      <w:r>
        <w:t xml:space="preserve">Для распределения по периодам L2 различие между площадками также устойчиво:</w:t>
      </w:r>
      <w:r>
        <w:t xml:space="preserve"> </w:t>
      </w:r>
      <w:r>
        <w:t xml:space="preserve">χ² = 54.74, p ≈ 5.24e-10, V Крамера ≈ 0.247. При исключении записей с confidence &lt; 0.8</w:t>
      </w:r>
      <w:r>
        <w:t xml:space="preserve"> </w:t>
      </w:r>
      <w:r>
        <w:t xml:space="preserve">эффект сохраняется (χ² = 39.67, p ≈ 5.3e-7, V ≈ 0.217), как и при исключении</w:t>
      </w:r>
      <w:r>
        <w:t xml:space="preserve"> </w:t>
      </w:r>
      <w:r>
        <w:t xml:space="preserve">Зографа-2022 и предварительной программы 2026 г. (χ² = 37.49, p ≈ 1.4e-6,</w:t>
      </w:r>
      <w:r>
        <w:t xml:space="preserve"> </w:t>
      </w:r>
      <w:r>
        <w:t xml:space="preserve">V ≈ 0.216).</w:t>
      </w:r>
    </w:p>
    <w:bookmarkEnd w:id="48"/>
    <w:bookmarkStart w:id="49" w:name="Xb0fdc2896ffaa1112a0bebe50ce662759c9b607"/>
    <w:p>
      <w:pPr>
        <w:pStyle w:val="Heading3"/>
      </w:pPr>
      <w:r>
        <w:t xml:space="preserve">8.3. Характер докладов (L4): фундаментальная парадигма на обеих площадках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Прикладной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Методологический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</w:tbl>
    <w:p>
      <w:pPr>
        <w:pStyle w:val="BodyText"/>
      </w:pPr>
      <w:r>
        <w:t xml:space="preserve">Распределение по характеру доклада практически идентично на обеих площадках. Доля</w:t>
      </w:r>
      <w:r>
        <w:t xml:space="preserve"> </w:t>
      </w:r>
      <w:r>
        <w:t xml:space="preserve">прикладных тем составляет 4–5%, методологических — около 2%. Это значит, что</w:t>
      </w:r>
      <w:r>
        <w:t xml:space="preserve"> </w:t>
      </w:r>
      <w:r>
        <w:rPr>
          <w:b/>
          <w:bCs/>
        </w:rPr>
        <w:t xml:space="preserve">обе площадки в равной мере допускают на свою трибуну небольшое (но устойчивое)</w:t>
      </w:r>
      <w:r>
        <w:rPr>
          <w:b/>
          <w:bCs/>
        </w:rPr>
        <w:t xml:space="preserve"> </w:t>
      </w:r>
      <w:r>
        <w:rPr>
          <w:b/>
          <w:bCs/>
        </w:rPr>
        <w:t xml:space="preserve">количество прикладного и методологического материала</w:t>
      </w:r>
      <w:r>
        <w:t xml:space="preserve">. Иными словами, если бы</w:t>
      </w:r>
      <w:r>
        <w:t xml:space="preserve"> </w:t>
      </w:r>
      <w:r>
        <w:t xml:space="preserve">существовало доктринальное предпочтение фундаментальных тем перед прикладными,</w:t>
      </w:r>
      <w:r>
        <w:t xml:space="preserve"> </w:t>
      </w:r>
      <w:r>
        <w:t xml:space="preserve">оно было бы выражено в обоих сообществах симметрично, а не работало бы как</w:t>
      </w:r>
      <w:r>
        <w:t xml:space="preserve"> </w:t>
      </w:r>
      <w:r>
        <w:t xml:space="preserve">односторонний фильтр. Отказы по «прикладному характеру», по-видимому, относятся</w:t>
      </w:r>
      <w:r>
        <w:t xml:space="preserve"> </w:t>
      </w:r>
      <w:r>
        <w:t xml:space="preserve">к избирательной практике решений по конкретным заявкам, а не к содержательному</w:t>
      </w:r>
      <w:r>
        <w:t xml:space="preserve"> </w:t>
      </w:r>
      <w:r>
        <w:t xml:space="preserve">правилу, действующему на уровне программы в целом.</w:t>
      </w:r>
    </w:p>
    <w:bookmarkEnd w:id="49"/>
    <w:bookmarkStart w:id="50" w:name="Xbf0561016e79880c6c94049abda1eb5edf2560b"/>
    <w:p>
      <w:pPr>
        <w:pStyle w:val="Heading3"/>
      </w:pPr>
      <w:r>
        <w:t xml:space="preserve">8.4. Влияние смены оргкомитета на тематический дрейф и приток новых участников (Зографские чтения)</w:t>
      </w:r>
    </w:p>
    <w:p>
      <w:pPr>
        <w:pStyle w:val="FirstParagraph"/>
      </w:pPr>
      <w:r>
        <w:t xml:space="preserve">Интересным сюжетом в эволюции Зографских чтений является переходный период 2025–2026 гг. В это время произошло фактическое изменение руководства оргкомитетом: многолетняя «эра» Я. В. Василькова (до 2024 г. включительно) сменилась руководством М. Ф. Альбедиль и М. А. Иванова (2025–2026 гг.). Мы проверили, привело ли это к изменению состава участников и содержательному сдвигу в тематике докладов.</w:t>
      </w:r>
    </w:p>
    <w:p>
      <w:pPr>
        <w:pStyle w:val="BodyText"/>
      </w:pPr>
      <w:r>
        <w:t xml:space="preserve">Анализ показал следующие результаты: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Приток новых участников (newcomer rate).</w:t>
      </w:r>
      <w:r>
        <w:t xml:space="preserve"> </w:t>
      </w:r>
      <w:r>
        <w:t xml:space="preserve">Доля докладчиков, впервые выступающих на Зографских чтениях, в эру Василькова составляла 24.9% (194 дебютанта из 780 уникальных участнико-лет), а в эру Альбедиль — Иванова — 23.1% (27 из 117). Различие не является статистически значимым (критерий хи-квадрат,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0.7603</m:t>
        </m:r>
      </m:oMath>
      <w:r>
        <w:t xml:space="preserve">), что указывает на преемственность в темпах обновления состава участников.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Тематический дрейф по дисциплинам (L1).</w:t>
      </w:r>
      <w:r>
        <w:t xml:space="preserve"> </w:t>
      </w:r>
      <w:r>
        <w:t xml:space="preserve">Структурный профиль научных дисциплин при смене оргкомитета остался стабильным (критерий хи-квадрат,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0.8463</m:t>
        </m:r>
      </m:oMath>
      <w:r>
        <w:t xml:space="preserve">). Соотношение между доминирующими филологическими, философскими и религиоведческими блоками не претерпело резких изменений.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Дрейф хронологических периодов (L2).</w:t>
      </w:r>
      <w:r>
        <w:t xml:space="preserve"> </w:t>
      </w:r>
      <w:r>
        <w:t xml:space="preserve">Распределение докладов по исследуемым эпохам также не показывает статистически значимого перераспределения (критерий хи-квадрат,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0.2619</m:t>
        </m:r>
      </m:oMath>
      <w:r>
        <w:t xml:space="preserve">). Описательно заметно снижение доли классического периода (с 37.6% в эру Василькова до 26.3% в эру Альбедиль — Иванова) и рост доли тем модерного периода (с 9.9% до 15.8%), но при текущем объеме двух переходных программ этот сюжет должен оставаться наблюдаемой тенденцией, а не доказанным сдвигом.</w:t>
      </w:r>
    </w:p>
    <w:p>
      <w:pPr>
        <w:pStyle w:val="BodyText"/>
      </w:pPr>
      <w:r>
        <w:t xml:space="preserve">Таким образом, смена руководства конференцией не привела к регистрируемой смене кадровой политики, дисциплинарного фокуса или распределения хронологических периодов. Описательное снижение доли классического периода и рост модерна в двух переходных программах можно показывать как наблюдаемую тенденцию, но не как доказанный тематический сдвиг.</w:t>
      </w:r>
    </w:p>
    <w:bookmarkEnd w:id="50"/>
    <w:bookmarkEnd w:id="51"/>
    <w:bookmarkStart w:id="58" w:name="Xc60779975e94db07f94e97b7d5ebf15fef534e2"/>
    <w:p>
      <w:pPr>
        <w:pStyle w:val="Heading2"/>
      </w:pPr>
      <w:r>
        <w:t xml:space="preserve">9. Перекрестная когорта: 38 ученых российской индологии</w:t>
      </w:r>
    </w:p>
    <w:p>
      <w:pPr>
        <w:pStyle w:val="FirstParagraph"/>
      </w:pPr>
      <w:r>
        <w:t xml:space="preserve">Из 220 ученых нашей базы</w:t>
      </w:r>
      <w:r>
        <w:t xml:space="preserve"> </w:t>
      </w:r>
      <w:r>
        <w:rPr>
          <w:b/>
          <w:bCs/>
        </w:rPr>
        <w:t xml:space="preserve">38 (17.3%) — это те, кто выступали на обеих площадках</w:t>
      </w:r>
      <w:r>
        <w:t xml:space="preserve">.</w:t>
      </w:r>
      <w:r>
        <w:t xml:space="preserve"> </w:t>
      </w:r>
      <w:r>
        <w:t xml:space="preserve">Эта когорта может рассматриваться как операциональное определение публично видимой</w:t>
      </w:r>
      <w:r>
        <w:t xml:space="preserve"> </w:t>
      </w:r>
      <w:r>
        <w:t xml:space="preserve">межплощадочной конференционной индологии: участие на обеих чтениях говорит о том,</w:t>
      </w:r>
      <w:r>
        <w:t xml:space="preserve"> </w:t>
      </w:r>
      <w:r>
        <w:t xml:space="preserve">что ученый включен в оба центра академической традиции (петербургский и московский),</w:t>
      </w:r>
      <w:r>
        <w:t xml:space="preserve"> </w:t>
      </w:r>
      <w:r>
        <w:t xml:space="preserve">независимо от его собственной институциональной приписки.</w:t>
      </w:r>
    </w:p>
    <w:p>
      <w:pPr>
        <w:pStyle w:val="BodyText"/>
      </w:pPr>
      <w:r>
        <w:t xml:space="preserve">Десять наиболее активных ученых пересекающейся когорты: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Ученый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Зограф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Период активности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С. О. Цветкова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2007–2026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Н. В. Александрова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2012–2026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С. С. Тавастшерна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2006–2026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С. И. Рыжакова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2004–2026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В. Г. Лысенко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2004–2025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А. М. Дубянский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2004–2020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Н. А. Корнеева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2010–2026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В. В. Вертоградова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2006–2024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О. П. Вечерина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2014–2022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Н. Р. Лидова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2010–2026</w:t>
            </w:r>
          </w:p>
        </w:tc>
      </w:tr>
    </w:tbl>
    <w:p>
      <w:pPr>
        <w:pStyle w:val="CaptionedFigure"/>
      </w:pPr>
      <w:r>
        <w:drawing>
          <wp:inline>
            <wp:extent cx="5334000" cy="3808009"/>
            <wp:effectExtent b="0" l="0" r="0" t="0"/>
            <wp:docPr descr="Рис. 5. Перекрестная когорта: баланс участия на двух площадках" title="" id="53" name="Picture"/>
            <a:graphic>
              <a:graphicData uri="http://schemas.openxmlformats.org/drawingml/2006/picture">
                <pic:pic>
                  <pic:nvPicPr>
                    <pic:cNvPr descr="figures/cross_cohort_balanc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Перекрестная когорта: баланс участия на двух площадках</w:t>
      </w:r>
    </w:p>
    <w:p>
      <w:pPr>
        <w:pStyle w:val="BodyText"/>
      </w:pPr>
      <w:r>
        <w:t xml:space="preserve">Знаменательно асимметричное распределение участий внутри этой когорты. С. И. Рыжакова</w:t>
      </w:r>
      <w:r>
        <w:t xml:space="preserve"> </w:t>
      </w:r>
      <w:r>
        <w:t xml:space="preserve">является заметно более активным участником Зографских чтений (15 против 4), тогда</w:t>
      </w:r>
      <w:r>
        <w:t xml:space="preserve"> </w:t>
      </w:r>
      <w:r>
        <w:t xml:space="preserve">как В. В. Вертоградова — практически только Рериховских (1 против 12). Однако рисунок</w:t>
      </w:r>
      <w:r>
        <w:t xml:space="preserve"> </w:t>
      </w:r>
      <w:r>
        <w:t xml:space="preserve">показывает, что перекрестная когорта не распадается на две чистые группы: при индексе</w:t>
      </w:r>
      <w:r>
        <w:t xml:space="preserve"> </w:t>
      </w:r>
      <w:r>
        <w:t xml:space="preserve">баланса (Зограф − Рерих) / (Зограф + Рерих) 18 участников попадают в среднюю зону,</w:t>
      </w:r>
      <w:r>
        <w:t xml:space="preserve"> </w:t>
      </w:r>
      <w:r>
        <w:t xml:space="preserve">12 имеют рериховскую асимметрию и 9 — зографскую. Поэтому точнее говорить не о двух</w:t>
      </w:r>
      <w:r>
        <w:t xml:space="preserve"> </w:t>
      </w:r>
      <w:r>
        <w:t xml:space="preserve">изолированных подгруппах, а о поле с двумя полюсами и довольно широким «мостовым»</w:t>
      </w:r>
      <w:r>
        <w:t xml:space="preserve"> </w:t>
      </w:r>
      <w:r>
        <w:t xml:space="preserve">центром. Полный список 38 ученых приведен в приложении А.</w:t>
      </w:r>
    </w:p>
    <w:p>
      <w:pPr>
        <w:pStyle w:val="CaptionedFigure"/>
      </w:pPr>
      <w:r>
        <w:drawing>
          <wp:inline>
            <wp:extent cx="5334000" cy="3305577"/>
            <wp:effectExtent b="0" l="0" r="0" t="0"/>
            <wp:docPr descr="Рис. 6. Сессионная центральность участников по совместным сессиям" title="" id="56" name="Picture"/>
            <a:graphic>
              <a:graphicData uri="http://schemas.openxmlformats.org/drawingml/2006/picture">
                <pic:pic>
                  <pic:nvPicPr>
                    <pic:cNvPr descr="hypothesis_output/network_bridges_sess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Сессионная центральность участников по совместным сессиям</w:t>
      </w:r>
    </w:p>
    <w:p>
      <w:pPr>
        <w:pStyle w:val="BodyText"/>
      </w:pPr>
      <w:r>
        <w:t xml:space="preserve">Сессионный расчет центральности уточняет этот вывод. Если строить граф по совместному участию в одном</w:t>
      </w:r>
      <w:r>
        <w:t xml:space="preserve"> </w:t>
      </w:r>
      <w:r>
        <w:t xml:space="preserve">годовом событии, он оказывается слишком плотным: почти все активные участники одного</w:t>
      </w:r>
      <w:r>
        <w:t xml:space="preserve"> </w:t>
      </w:r>
      <w:r>
        <w:t xml:space="preserve">года автоматически связываются друг с другом. Более строгая проекция по сессиям</w:t>
      </w:r>
      <w:r>
        <w:t xml:space="preserve"> </w:t>
      </w:r>
      <w:r>
        <w:t xml:space="preserve">снижает эту проблему и выводит в верх списка по посреднической центральности С. И. Рыжакову,</w:t>
      </w:r>
      <w:r>
        <w:t xml:space="preserve"> </w:t>
      </w:r>
      <w:r>
        <w:t xml:space="preserve">В. Г. Лысенко, С. О. Цветкову, С. Х. Шомахмадова, С. С. Тавастшерну,</w:t>
      </w:r>
      <w:r>
        <w:t xml:space="preserve"> </w:t>
      </w:r>
      <w:r>
        <w:t xml:space="preserve">Н. В. Александрову и Я. В. Василькова. Такой список не равен простому рейтингу</w:t>
      </w:r>
      <w:r>
        <w:t xml:space="preserve"> </w:t>
      </w:r>
      <w:r>
        <w:t xml:space="preserve">докладов: он показывает тех, кто соединяет тематические и институциональные блоки</w:t>
      </w:r>
      <w:r>
        <w:t xml:space="preserve"> </w:t>
      </w:r>
      <w:r>
        <w:t xml:space="preserve">программы. При этом результат остается предварительным, поскольку в ранних программах</w:t>
      </w:r>
      <w:r>
        <w:t xml:space="preserve"> </w:t>
      </w:r>
      <w:r>
        <w:t xml:space="preserve">часть «сессий» фактически соответствует крупным дневным заседаниям.</w:t>
      </w:r>
    </w:p>
    <w:bookmarkEnd w:id="58"/>
    <w:bookmarkStart w:id="62" w:name="X4f170e5e280334d08f9d70bdc0189b7a99d7fa7"/>
    <w:p>
      <w:pPr>
        <w:pStyle w:val="Heading2"/>
      </w:pPr>
      <w:r>
        <w:t xml:space="preserve">10. Дополнительные гипотезы: источники, видео и масштаб обобщения</w:t>
      </w:r>
    </w:p>
    <w:p>
      <w:pPr>
        <w:pStyle w:val="FirstParagraph"/>
      </w:pPr>
      <w:r>
        <w:t xml:space="preserve">После основной проверки Н1–Н10 корпус позволяет поставить еще несколько групп</w:t>
      </w:r>
      <w:r>
        <w:t xml:space="preserve"> </w:t>
      </w:r>
      <w:r>
        <w:t xml:space="preserve">гипотез, связанных не столько с численностью площадок, сколько с устройством</w:t>
      </w:r>
      <w:r>
        <w:t xml:space="preserve"> </w:t>
      </w:r>
      <w:r>
        <w:t xml:space="preserve">источниковой видимости, жанром доклада и масштабом научного обобщения. Их статус</w:t>
      </w:r>
      <w:r>
        <w:t xml:space="preserve"> </w:t>
      </w:r>
      <w:r>
        <w:t xml:space="preserve">различен: часть уже проверяется текущими таблицами, часть требует отдельного</w:t>
      </w:r>
      <w:r>
        <w:t xml:space="preserve"> </w:t>
      </w:r>
      <w:r>
        <w:t xml:space="preserve">биографического или институционального слоя данных и поэтому ниже фиксируется как</w:t>
      </w:r>
      <w:r>
        <w:t xml:space="preserve"> </w:t>
      </w:r>
      <w:r>
        <w:t xml:space="preserve">проверяемая, но пока не доказанная исследовательская программа. Сильные результаты</w:t>
      </w:r>
      <w:r>
        <w:t xml:space="preserve"> </w:t>
      </w:r>
      <w:r>
        <w:t xml:space="preserve">выделены как подтвержденные или предварительно подтвержденные; слабые оставлены как</w:t>
      </w:r>
      <w:r>
        <w:t xml:space="preserve"> </w:t>
      </w:r>
      <w:r>
        <w:t xml:space="preserve">направления дальнейшей проверки, чтобы не подменять статистику интерпретацией.</w:t>
      </w:r>
    </w:p>
    <w:bookmarkStart w:id="59" w:name="источниковая-видимость-и-медиаслой"/>
    <w:p>
      <w:pPr>
        <w:pStyle w:val="Heading3"/>
      </w:pPr>
      <w:r>
        <w:t xml:space="preserve">10.1. Источниковая видимость и медиаслой</w:t>
      </w:r>
    </w:p>
    <w:p>
      <w:pPr>
        <w:pStyle w:val="FirstParagraph"/>
      </w:pPr>
      <w:r>
        <w:rPr>
          <w:b/>
          <w:bCs/>
        </w:rPr>
        <w:t xml:space="preserve">Н11. «Город вместо учреждения» является эффектом формата программы, а не прямым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признаком внеинституционального статуса участника.</w:t>
      </w:r>
      <w:r>
        <w:t xml:space="preserve"> </w:t>
      </w:r>
      <w:r>
        <w:t xml:space="preserve">Эта гипотеза подтверждается</w:t>
      </w:r>
      <w:r>
        <w:t xml:space="preserve"> </w:t>
      </w:r>
      <w:r>
        <w:t xml:space="preserve">сильнее всего. В 899 авторских участиях доля записей, где вместо учреждения указан</w:t>
      </w:r>
      <w:r>
        <w:t xml:space="preserve"> </w:t>
      </w:r>
      <w:r>
        <w:t xml:space="preserve">только город, резко различается между площадками: 94.7% для Зографских чтений</w:t>
      </w:r>
      <w:r>
        <w:t xml:space="preserve"> </w:t>
      </w:r>
      <w:r>
        <w:t xml:space="preserve">против 13.0% для Рериховских. Стратифицированная по годам проверка (метод</w:t>
      </w:r>
      <w:r>
        <w:t xml:space="preserve"> </w:t>
      </w:r>
      <w:r>
        <w:t xml:space="preserve">Кохрана–Мантеля–Хензеля) дает отношение шансов около 157 при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85</m:t>
            </m:r>
          </m:sup>
        </m:sSup>
      </m:oMath>
      <w:r>
        <w:t xml:space="preserve"> </w:t>
      </w:r>
      <w:r>
        <w:t xml:space="preserve">(см. приложение Г.4). Поэтому городская метка в программе не должна</w:t>
      </w:r>
      <w:r>
        <w:t xml:space="preserve"> </w:t>
      </w:r>
      <w:r>
        <w:t xml:space="preserve">автоматически читаться как место работы, тип учреждения или отсутствие институции:</w:t>
      </w:r>
      <w:r>
        <w:t xml:space="preserve"> </w:t>
      </w:r>
      <w:r>
        <w:t xml:space="preserve">прежде всего это редакционный стандарт публикации программы.</w:t>
      </w:r>
    </w:p>
    <w:p>
      <w:pPr>
        <w:pStyle w:val="BodyText"/>
      </w:pPr>
      <w:r>
        <w:rPr>
          <w:b/>
          <w:bCs/>
        </w:rPr>
        <w:t xml:space="preserve">Н12. Периферийное участие может быть чаще внеуниверситетским или</w:t>
      </w:r>
      <w:r>
        <w:rPr>
          <w:b/>
          <w:bCs/>
        </w:rPr>
        <w:t xml:space="preserve"> </w:t>
      </w:r>
      <w:r>
        <w:rPr>
          <w:b/>
          <w:bCs/>
        </w:rPr>
        <w:t xml:space="preserve">внеинституциональным, но текущий корпус сам по себе этого не доказывает.</w:t>
      </w:r>
      <w:r>
        <w:t xml:space="preserve"> </w:t>
      </w:r>
      <w:r>
        <w:t xml:space="preserve">Данные</w:t>
      </w:r>
      <w:r>
        <w:t xml:space="preserve"> </w:t>
      </w:r>
      <w:r>
        <w:t xml:space="preserve">уверенно показывают более низкую возвращаемость региональных участников: 36.1%</w:t>
      </w:r>
      <w:r>
        <w:t xml:space="preserve"> </w:t>
      </w:r>
      <w:r>
        <w:t xml:space="preserve">против примерно 59% у столичных групп. Однако из строки «Казань», «Калининград»,</w:t>
      </w:r>
      <w:r>
        <w:t xml:space="preserve"> </w:t>
      </w:r>
      <w:r>
        <w:t xml:space="preserve">«Пенза» или «Екатеринбург» нельзя вывести, работает ли участник в университете,</w:t>
      </w:r>
      <w:r>
        <w:t xml:space="preserve"> </w:t>
      </w:r>
      <w:r>
        <w:t xml:space="preserve">академическом институте, музее, школе, независимом исследовательском статусе или</w:t>
      </w:r>
      <w:r>
        <w:t xml:space="preserve"> </w:t>
      </w:r>
      <w:r>
        <w:t xml:space="preserve">иной организации. Следовательно, корректная формулировка Н12 такова: региональная</w:t>
      </w:r>
      <w:r>
        <w:t xml:space="preserve"> </w:t>
      </w:r>
      <w:r>
        <w:t xml:space="preserve">периферия демонстрирует более слабую когортную устойчивость, а гипотеза о ее</w:t>
      </w:r>
      <w:r>
        <w:t xml:space="preserve"> </w:t>
      </w:r>
      <w:r>
        <w:t xml:space="preserve">внеуниверситетском характере требует отдельного authority-слоя с ручной или внешней</w:t>
      </w:r>
      <w:r>
        <w:t xml:space="preserve"> </w:t>
      </w:r>
      <w:r>
        <w:t xml:space="preserve">верификацией занятости. Пенза в этом смысле должна рассматриваться как возможное</w:t>
      </w:r>
      <w:r>
        <w:t xml:space="preserve"> </w:t>
      </w:r>
      <w:r>
        <w:t xml:space="preserve">исключение и контрольный кейс, а не как вывод из одной городской метки.</w:t>
      </w:r>
    </w:p>
    <w:p>
      <w:pPr>
        <w:pStyle w:val="BodyText"/>
      </w:pPr>
      <w:r>
        <w:rPr>
          <w:b/>
          <w:bCs/>
        </w:rPr>
        <w:t xml:space="preserve">Н13. YouTube-покрытие является не нейтральным зеркалом корпуса, а смещенным слоем</w:t>
      </w:r>
      <w:r>
        <w:rPr>
          <w:b/>
          <w:bCs/>
        </w:rPr>
        <w:t xml:space="preserve"> </w:t>
      </w:r>
      <w:r>
        <w:rPr>
          <w:b/>
          <w:bCs/>
        </w:rPr>
        <w:t xml:space="preserve">публичной видимости.</w:t>
      </w:r>
      <w:r>
        <w:t xml:space="preserve"> </w:t>
      </w:r>
      <w:r>
        <w:t xml:space="preserve">В собранных плейлистах насчитывается 178 видеозаписей, из</w:t>
      </w:r>
      <w:r>
        <w:t xml:space="preserve"> </w:t>
      </w:r>
      <w:r>
        <w:t xml:space="preserve">которых 89 автоматически сопоставлены с докладами, 65 требуют ручной проверки и</w:t>
      </w:r>
      <w:r>
        <w:t xml:space="preserve"> </w:t>
      </w:r>
      <w:r>
        <w:t xml:space="preserve">24 относятся к пропускам или сессионным записям. На уровне базы прямые ссылки на</w:t>
      </w:r>
      <w:r>
        <w:t xml:space="preserve"> </w:t>
      </w:r>
      <w:r>
        <w:t xml:space="preserve">видео привязаны к 82 уникальным докладам (84 авторским карточкам). Это покрытие</w:t>
      </w:r>
      <w:r>
        <w:t xml:space="preserve"> </w:t>
      </w:r>
      <w:r>
        <w:t xml:space="preserve">сильно неравномерно: оно относится почти исключительно к Зографским чтениям,</w:t>
      </w:r>
      <w:r>
        <w:t xml:space="preserve"> </w:t>
      </w:r>
      <w:r>
        <w:t xml:space="preserve">концентрируется в отдельных годах (особенно 2020 и 2025 гг.) и заметно различается</w:t>
      </w:r>
      <w:r>
        <w:t xml:space="preserve"> </w:t>
      </w:r>
      <w:r>
        <w:t xml:space="preserve">по тематическим группам. Поэтому видеослой полезен для анализа открытости и</w:t>
      </w:r>
      <w:r>
        <w:t xml:space="preserve"> </w:t>
      </w:r>
      <w:r>
        <w:t xml:space="preserve">видимости, но не должен использоваться как репрезентативная выборка всего корпуса</w:t>
      </w:r>
      <w:r>
        <w:t xml:space="preserve"> </w:t>
      </w:r>
      <w:r>
        <w:t xml:space="preserve">без поправки на смещение публикации.</w:t>
      </w:r>
    </w:p>
    <w:p>
      <w:pPr>
        <w:pStyle w:val="BodyText"/>
      </w:pPr>
      <w:r>
        <w:rPr>
          <w:b/>
          <w:bCs/>
        </w:rPr>
        <w:t xml:space="preserve">Н14. Шкала Гумилева фиксирует преобладание микрокейсового уровня обобщения.</w:t>
      </w:r>
      <w:r>
        <w:t xml:space="preserve"> </w:t>
      </w:r>
      <w:r>
        <w:t xml:space="preserve">Для навигации по докладам введена отдельная шкала уровня обобщения: G1 – отдельный</w:t>
      </w:r>
      <w:r>
        <w:t xml:space="preserve"> </w:t>
      </w:r>
      <w:r>
        <w:t xml:space="preserve">текст, автор, источник, термин или локальный сюжет; G2 – региональная традиция,</w:t>
      </w:r>
      <w:r>
        <w:t xml:space="preserve"> </w:t>
      </w:r>
      <w:r>
        <w:t xml:space="preserve">школа, жанр или длительная историко-культурная линия; G3 – широкий</w:t>
      </w:r>
      <w:r>
        <w:t xml:space="preserve"> </w:t>
      </w:r>
      <w:r>
        <w:t xml:space="preserve">сравнительный, цивилизационный или методологический уровень. В интерфейсе</w:t>
      </w:r>
      <w:r>
        <w:t xml:space="preserve"> </w:t>
      </w:r>
      <w:r>
        <w:t xml:space="preserve">микросайта эти уровни показаны как L1–L3, но в статье они обозначаются G1–G3,</w:t>
      </w:r>
      <w:r>
        <w:t xml:space="preserve"> </w:t>
      </w:r>
      <w:r>
        <w:t xml:space="preserve">чтобы не смешивать их с тематическими кодами L1/L2/L4. По 895 уникальным докладам</w:t>
      </w:r>
      <w:r>
        <w:t xml:space="preserve"> </w:t>
      </w:r>
      <w:r>
        <w:t xml:space="preserve">распределение резко асимметрично: G1 – 852 доклада, G2 – 37, G3 – 6. Тем самым</w:t>
      </w:r>
      <w:r>
        <w:t xml:space="preserve"> </w:t>
      </w:r>
      <w:r>
        <w:t xml:space="preserve">корпус в целом устроен как поле конкретных источниковедческих и текстологических</w:t>
      </w:r>
      <w:r>
        <w:t xml:space="preserve"> </w:t>
      </w:r>
      <w:r>
        <w:t xml:space="preserve">кейсов, а не как пространство регулярных макросравнительных обобщений.</w:t>
      </w:r>
    </w:p>
    <w:p>
      <w:pPr>
        <w:pStyle w:val="BodyText"/>
      </w:pPr>
      <w:r>
        <w:rPr>
          <w:b/>
          <w:bCs/>
        </w:rPr>
        <w:t xml:space="preserve">Н15. Классификация по заголовку в большинстве случаев устойчива, но видеоконтекст</w:t>
      </w:r>
      <w:r>
        <w:rPr>
          <w:b/>
          <w:bCs/>
        </w:rPr>
        <w:t xml:space="preserve"> </w:t>
      </w:r>
      <w:r>
        <w:rPr>
          <w:b/>
          <w:bCs/>
        </w:rPr>
        <w:t xml:space="preserve">обнаруживает границы автоматической разметки.</w:t>
      </w:r>
      <w:r>
        <w:t xml:space="preserve"> </w:t>
      </w:r>
      <w:r>
        <w:t xml:space="preserve">Для 89 сопоставленных видеозаписей</w:t>
      </w:r>
      <w:r>
        <w:t xml:space="preserve"> </w:t>
      </w:r>
      <w:r>
        <w:t xml:space="preserve">сравнение уровня Гумилева, назначенного только по названию доклада, с уровнем,</w:t>
      </w:r>
      <w:r>
        <w:t xml:space="preserve"> </w:t>
      </w:r>
      <w:r>
        <w:t xml:space="preserve">полученным с учетом названия видео, дает 76 совпадений и 13 расхождений, то есть</w:t>
      </w:r>
      <w:r>
        <w:t xml:space="preserve"> </w:t>
      </w:r>
      <w:r>
        <w:t xml:space="preserve">согласие около 85%. Это достаточный уровень для навигационной классификации и</w:t>
      </w:r>
      <w:r>
        <w:t xml:space="preserve"> </w:t>
      </w:r>
      <w:r>
        <w:t xml:space="preserve">первичной статистики, но не для жестких выводов о научном стиле отдельного автора</w:t>
      </w:r>
      <w:r>
        <w:t xml:space="preserve"> </w:t>
      </w:r>
      <w:r>
        <w:t xml:space="preserve">без просмотра записи и ручной верификации спорных случаев.</w:t>
      </w:r>
    </w:p>
    <w:bookmarkEnd w:id="59"/>
    <w:bookmarkStart w:id="60" w:name="X3d7cc22571022004121cca708e6e900a893a416"/>
    <w:p>
      <w:pPr>
        <w:pStyle w:val="Heading3"/>
      </w:pPr>
      <w:r>
        <w:t xml:space="preserve">10.2. Дополнительные социальные и жанровые гипотезы</w:t>
      </w:r>
    </w:p>
    <w:p>
      <w:pPr>
        <w:pStyle w:val="FirstParagraph"/>
      </w:pPr>
      <w:r>
        <w:rPr>
          <w:b/>
          <w:bCs/>
        </w:rPr>
        <w:t xml:space="preserve">Н16. Онлайн-формат 2020 г. расширил вход, но не создал устойчивую новую когорту.</w:t>
      </w:r>
      <w:r>
        <w:t xml:space="preserve"> </w:t>
      </w:r>
      <w:r>
        <w:t xml:space="preserve">В 2020 г. в корпус вошли 16 дебютантов; к последующим годам вернулись 8 из них</w:t>
      </w:r>
      <w:r>
        <w:t xml:space="preserve"> </w:t>
      </w:r>
      <w:r>
        <w:t xml:space="preserve">(50.0%). Для дебютантов соседнего периода 2018–2019 и 2021–2022 гг. возвращаемость</w:t>
      </w:r>
      <w:r>
        <w:t xml:space="preserve"> </w:t>
      </w:r>
      <w:r>
        <w:t xml:space="preserve">составляет 20 из 35 (57.1%); различие незначимо (</w:t>
      </w:r>
      <m:oMath>
        <m:r>
          <m:t>p</m:t>
        </m:r>
        <m:r>
          <m:rPr>
            <m:sty m:val="p"/>
          </m:rPr>
          <m:t>≈</m:t>
        </m:r>
        <m:r>
          <m:t>0.764</m:t>
        </m:r>
      </m:oMath>
      <w:r>
        <w:t xml:space="preserve">). Следовательно,</w:t>
      </w:r>
      <w:r>
        <w:t xml:space="preserve"> </w:t>
      </w:r>
      <w:r>
        <w:t xml:space="preserve">пандемийный и онлайн-контекст мог облегчить вход, но пока не выглядит механизмом</w:t>
      </w:r>
      <w:r>
        <w:t xml:space="preserve"> </w:t>
      </w:r>
      <w:r>
        <w:t xml:space="preserve">долговременного закрепления новых участников.</w:t>
      </w:r>
    </w:p>
    <w:p>
      <w:pPr>
        <w:pStyle w:val="BodyText"/>
      </w:pPr>
      <w:r>
        <w:rPr>
          <w:b/>
          <w:bCs/>
        </w:rPr>
        <w:t xml:space="preserve">Н17. Тематическая специализация сама по себе не повышает удержание участника.</w:t>
      </w:r>
      <w:r>
        <w:t xml:space="preserve"> </w:t>
      </w:r>
      <w:r>
        <w:t xml:space="preserve">Первоначальная формулировка предполагала, что возвращаются прежде всего авторы с</w:t>
      </w:r>
      <w:r>
        <w:t xml:space="preserve"> </w:t>
      </w:r>
      <w:r>
        <w:t xml:space="preserve">устойчивой темой. Текущий срез скорее усложняет этот тезис: участники ядра имеют</w:t>
      </w:r>
      <w:r>
        <w:t xml:space="preserve"> </w:t>
      </w:r>
      <w:r>
        <w:t xml:space="preserve">больше тематических рубрик в абсолютном выражении (медиана 3 против 1 у не-ядра),</w:t>
      </w:r>
      <w:r>
        <w:t xml:space="preserve"> </w:t>
      </w:r>
      <w:r>
        <w:t xml:space="preserve">что частично связано с большим числом докладов, а среди повторных участников ядро</w:t>
      </w:r>
      <w:r>
        <w:t xml:space="preserve"> </w:t>
      </w:r>
      <w:r>
        <w:t xml:space="preserve">сохраняет более выраженный профиль доминирующей темы, но не становится тематически</w:t>
      </w:r>
      <w:r>
        <w:t xml:space="preserve"> </w:t>
      </w:r>
      <w:r>
        <w:t xml:space="preserve">однообразным. Поэтому Н17 следует считать не подтвержденной в простой форме: удержание</w:t>
      </w:r>
      <w:r>
        <w:t xml:space="preserve"> </w:t>
      </w:r>
      <w:r>
        <w:t xml:space="preserve">связано не с одной темой, а с сочетанием долговременной специализации и способности</w:t>
      </w:r>
      <w:r>
        <w:t xml:space="preserve"> </w:t>
      </w:r>
      <w:r>
        <w:t xml:space="preserve">переходить между близкими сюжетами.</w:t>
      </w:r>
    </w:p>
    <w:p>
      <w:pPr>
        <w:pStyle w:val="BodyText"/>
      </w:pPr>
      <w:r>
        <w:rPr>
          <w:b/>
          <w:bCs/>
        </w:rPr>
        <w:t xml:space="preserve">Н18. Перекрестные участники не являются универсалами, а переносят между площадками</w:t>
      </w:r>
      <w:r>
        <w:rPr>
          <w:b/>
          <w:bCs/>
        </w:rPr>
        <w:t xml:space="preserve"> </w:t>
      </w:r>
      <w:r>
        <w:rPr>
          <w:b/>
          <w:bCs/>
        </w:rPr>
        <w:t xml:space="preserve">собственные тематические траектории.</w:t>
      </w:r>
      <w:r>
        <w:t xml:space="preserve"> </w:t>
      </w:r>
      <w:r>
        <w:t xml:space="preserve">Для 38 участников обеих площадок медианная</w:t>
      </w:r>
      <w:r>
        <w:t xml:space="preserve"> </w:t>
      </w:r>
      <w:r>
        <w:t xml:space="preserve">косинусная близость тематических профилей между Зографом и Рерихом составляет около</w:t>
      </w:r>
      <w:r>
        <w:t xml:space="preserve"> </w:t>
      </w:r>
      <w:r>
        <w:t xml:space="preserve">0.79. При этом совпадение доминирующей крупной рубрики наблюдается не у всех, поскольку</w:t>
      </w:r>
      <w:r>
        <w:t xml:space="preserve"> </w:t>
      </w:r>
      <w:r>
        <w:t xml:space="preserve">часть ранних и зографских докладов попадает в широкую категорию «не классифицировано».</w:t>
      </w:r>
      <w:r>
        <w:t xml:space="preserve"> </w:t>
      </w:r>
      <w:r>
        <w:t xml:space="preserve">Гипотеза поэтому предварительно поддержана на уровне близости профилей, но нуждается</w:t>
      </w:r>
      <w:r>
        <w:t xml:space="preserve"> </w:t>
      </w:r>
      <w:r>
        <w:t xml:space="preserve">в проверке на более детальной тематической сетке.</w:t>
      </w:r>
    </w:p>
    <w:p>
      <w:pPr>
        <w:pStyle w:val="BodyText"/>
      </w:pPr>
      <w:r>
        <w:rPr>
          <w:b/>
          <w:bCs/>
        </w:rPr>
        <w:t xml:space="preserve">Н19. Рериховские чтения сильнее завязаны на институциональную преемственность,</w:t>
      </w:r>
      <w:r>
        <w:rPr>
          <w:b/>
          <w:bCs/>
        </w:rPr>
        <w:t xml:space="preserve"> </w:t>
      </w:r>
      <w:r>
        <w:rPr>
          <w:b/>
          <w:bCs/>
        </w:rPr>
        <w:t xml:space="preserve">а Зографские – на персональную и городскую видимость.</w:t>
      </w:r>
      <w:r>
        <w:t xml:space="preserve"> </w:t>
      </w:r>
      <w:r>
        <w:t xml:space="preserve">Эта гипотеза объединяет</w:t>
      </w:r>
      <w:r>
        <w:t xml:space="preserve"> </w:t>
      </w:r>
      <w:r>
        <w:t xml:space="preserve">результаты Н11 и институционального раздела: Рериховские программы чаще показывают</w:t>
      </w:r>
      <w:r>
        <w:t xml:space="preserve"> </w:t>
      </w:r>
      <w:r>
        <w:t xml:space="preserve">организации, тогда как Зографские почти всегда публикуют город. Следовательно,</w:t>
      </w:r>
      <w:r>
        <w:t xml:space="preserve"> </w:t>
      </w:r>
      <w:r>
        <w:t xml:space="preserve">сравниваются не только две конференции, но и два режима публичного представления</w:t>
      </w:r>
      <w:r>
        <w:t xml:space="preserve"> </w:t>
      </w:r>
      <w:r>
        <w:t xml:space="preserve">академической принадлежности: институциональный и персонально-городской.</w:t>
      </w:r>
    </w:p>
    <w:p>
      <w:pPr>
        <w:pStyle w:val="BodyText"/>
      </w:pPr>
      <w:r>
        <w:rPr>
          <w:b/>
          <w:bCs/>
        </w:rPr>
        <w:t xml:space="preserve">Н20. Высокая доля микрокейсового уровня связана с низкой межавторской интеграцией</w:t>
      </w:r>
      <w:r>
        <w:rPr>
          <w:b/>
          <w:bCs/>
        </w:rPr>
        <w:t xml:space="preserve"> </w:t>
      </w:r>
      <w:r>
        <w:rPr>
          <w:b/>
          <w:bCs/>
        </w:rPr>
        <w:t xml:space="preserve">поля.</w:t>
      </w:r>
      <w:r>
        <w:t xml:space="preserve"> </w:t>
      </w:r>
      <w:r>
        <w:t xml:space="preserve">Более 99% докладов остаются индивидуальными, а 95.2% уникальных докладов</w:t>
      </w:r>
      <w:r>
        <w:t xml:space="preserve"> </w:t>
      </w:r>
      <w:r>
        <w:t xml:space="preserve">относятся к уровню G1. Прямая причинная связь между этими признаками не доказана:</w:t>
      </w:r>
      <w:r>
        <w:t xml:space="preserve"> </w:t>
      </w:r>
      <w:r>
        <w:t xml:space="preserve">и микрокейсовость, и индивидуальное авторство могут быть независимыми следствиями</w:t>
      </w:r>
      <w:r>
        <w:t xml:space="preserve"> </w:t>
      </w:r>
      <w:r>
        <w:t xml:space="preserve">гуманитарного жанра. Но вместе они задают проверяемую модель поля как совокупности</w:t>
      </w:r>
      <w:r>
        <w:t xml:space="preserve"> </w:t>
      </w:r>
      <w:r>
        <w:t xml:space="preserve">индивидуальных источниковедческих траекторий, а не коллективных исследовательских</w:t>
      </w:r>
      <w:r>
        <w:t xml:space="preserve"> </w:t>
      </w:r>
      <w:r>
        <w:t xml:space="preserve">программ.</w:t>
      </w:r>
    </w:p>
    <w:p>
      <w:pPr>
        <w:pStyle w:val="BodyText"/>
      </w:pPr>
      <w:r>
        <w:rPr>
          <w:b/>
          <w:bCs/>
        </w:rPr>
        <w:t xml:space="preserve">Н21. Ядро не обязательно более тематически закрыто, чем периферия.</w:t>
      </w:r>
      <w:r>
        <w:t xml:space="preserve"> </w:t>
      </w:r>
      <w:r>
        <w:t xml:space="preserve">На грубом</w:t>
      </w:r>
      <w:r>
        <w:t xml:space="preserve"> </w:t>
      </w:r>
      <w:r>
        <w:t xml:space="preserve">уровне ядро имеет больше тематических рубрик, потому что чаще выступает. При сравнении</w:t>
      </w:r>
      <w:r>
        <w:t xml:space="preserve"> </w:t>
      </w:r>
      <w:r>
        <w:t xml:space="preserve">только повторных участников ядро показывает не полную монотематичность, а устойчивое</w:t>
      </w:r>
      <w:r>
        <w:t xml:space="preserve"> </w:t>
      </w:r>
      <w:r>
        <w:t xml:space="preserve">возвращение к нескольким близким направлениям. Поэтому Н21 важна как корректирующая:</w:t>
      </w:r>
      <w:r>
        <w:t xml:space="preserve"> </w:t>
      </w:r>
      <w:r>
        <w:t xml:space="preserve">«ядро» нельзя автоматически отождествлять с тематической закрытостью; оно скорее</w:t>
      </w:r>
      <w:r>
        <w:t xml:space="preserve"> </w:t>
      </w:r>
      <w:r>
        <w:t xml:space="preserve">обладает большей емкостью и более длинной траекторией.</w:t>
      </w:r>
    </w:p>
    <w:p>
      <w:pPr>
        <w:pStyle w:val="BodyText"/>
      </w:pPr>
      <w:r>
        <w:rPr>
          <w:b/>
          <w:bCs/>
        </w:rPr>
        <w:t xml:space="preserve">Н22. Новички чаще входят через современные или колониальные сюжеты, но не через</w:t>
      </w:r>
      <w:r>
        <w:rPr>
          <w:b/>
          <w:bCs/>
        </w:rPr>
        <w:t xml:space="preserve"> </w:t>
      </w:r>
      <w:r>
        <w:rPr>
          <w:b/>
          <w:bCs/>
        </w:rPr>
        <w:t xml:space="preserve">прикладные темы.</w:t>
      </w:r>
      <w:r>
        <w:t xml:space="preserve"> </w:t>
      </w:r>
      <w:r>
        <w:t xml:space="preserve">На уровне авторских участий современные/колониальные темы</w:t>
      </w:r>
      <w:r>
        <w:t xml:space="preserve"> </w:t>
      </w:r>
      <w:r>
        <w:t xml:space="preserve">составляют 21.8% дебютных докладов против 15.8% повторных (</w:t>
      </w:r>
      <m:oMath>
        <m:r>
          <m:t>p</m:t>
        </m:r>
        <m:r>
          <m:rPr>
            <m:sty m:val="p"/>
          </m:rPr>
          <m:t>≈</m:t>
        </m:r>
        <m:r>
          <m:t>0.0505</m:t>
        </m:r>
      </m:oMath>
      <w:r>
        <w:t xml:space="preserve">),</w:t>
      </w:r>
      <w:r>
        <w:t xml:space="preserve"> </w:t>
      </w:r>
      <w:r>
        <w:t xml:space="preserve">то есть эффект находится на границе значимости. Прикладные и методологические</w:t>
      </w:r>
      <w:r>
        <w:t xml:space="preserve"> </w:t>
      </w:r>
      <w:r>
        <w:t xml:space="preserve">доклады, напротив, не чаще встречаются у дебютантов (5.0% против 7.5%,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0.222</m:t>
        </m:r>
      </m:oMath>
      <w:r>
        <w:t xml:space="preserve">). Поэтому Н22 подтверждается только в части современно-колониального входа,</w:t>
      </w:r>
      <w:r>
        <w:t xml:space="preserve"> </w:t>
      </w:r>
      <w:r>
        <w:t xml:space="preserve">но не как общий «прикладной» канал.</w:t>
      </w:r>
    </w:p>
    <w:p>
      <w:pPr>
        <w:pStyle w:val="BodyText"/>
      </w:pPr>
      <w:r>
        <w:rPr>
          <w:b/>
          <w:bCs/>
        </w:rPr>
        <w:t xml:space="preserve">Н23. Возможные гендерные различия в удержании и тематических нишах пока не</w:t>
      </w:r>
      <w:r>
        <w:rPr>
          <w:b/>
          <w:bCs/>
        </w:rPr>
        <w:t xml:space="preserve"> </w:t>
      </w:r>
      <w:r>
        <w:rPr>
          <w:b/>
          <w:bCs/>
        </w:rPr>
        <w:t xml:space="preserve">проверяются корректно.</w:t>
      </w:r>
      <w:r>
        <w:t xml:space="preserve"> </w:t>
      </w:r>
      <w:r>
        <w:t xml:space="preserve">В текущей базе нет надежного верифицированного поля пола</w:t>
      </w:r>
      <w:r>
        <w:t xml:space="preserve"> </w:t>
      </w:r>
      <w:r>
        <w:t xml:space="preserve">или гендера участника. Следовательно, эта гипотеза сохраняется как потенциально</w:t>
      </w:r>
      <w:r>
        <w:t xml:space="preserve"> </w:t>
      </w:r>
      <w:r>
        <w:t xml:space="preserve">важная для будущего исследования, но не включается в доказательную часть без</w:t>
      </w:r>
      <w:r>
        <w:t xml:space="preserve"> </w:t>
      </w:r>
      <w:r>
        <w:t xml:space="preserve">отдельного этически и источниковедчески аккуратного слоя разметки.</w:t>
      </w:r>
    </w:p>
    <w:p>
      <w:pPr>
        <w:pStyle w:val="BodyText"/>
      </w:pPr>
      <w:r>
        <w:rPr>
          <w:b/>
          <w:bCs/>
        </w:rPr>
        <w:t xml:space="preserve">Н24. Жанр заголовка меняется после 2020 г., но не как простой линейный рост длины.</w:t>
      </w:r>
      <w:r>
        <w:t xml:space="preserve"> </w:t>
      </w:r>
      <w:r>
        <w:t xml:space="preserve">Медиана длины названия остается около 8 слов, однако после 2023 г. растет средняя</w:t>
      </w:r>
      <w:r>
        <w:t xml:space="preserve"> </w:t>
      </w:r>
      <w:r>
        <w:t xml:space="preserve">длина (до 10.3 слова) и доля названий с двоеточием (25.5%). При этом общий</w:t>
      </w:r>
      <w:r>
        <w:t xml:space="preserve"> </w:t>
      </w:r>
      <w:r>
        <w:t xml:space="preserve">монотонный тренд по годам неоднозначен. Поэтому корректная формулировка Н24: в</w:t>
      </w:r>
      <w:r>
        <w:t xml:space="preserve"> </w:t>
      </w:r>
      <w:r>
        <w:t xml:space="preserve">новейшем слое заметно усиливается объяснительный и подзаголовочный жанр названия,</w:t>
      </w:r>
      <w:r>
        <w:t xml:space="preserve"> </w:t>
      </w:r>
      <w:r>
        <w:t xml:space="preserve">но это не сводится к простому ежегодному удлинению всех заголовков.</w:t>
      </w:r>
    </w:p>
    <w:p>
      <w:pPr>
        <w:pStyle w:val="BodyText"/>
      </w:pPr>
      <w:r>
        <w:rPr>
          <w:b/>
          <w:bCs/>
        </w:rPr>
        <w:t xml:space="preserve">Н25. Видеоархив усиливает видимость технически доступных годов и слабо связан с</w:t>
      </w:r>
      <w:r>
        <w:rPr>
          <w:b/>
          <w:bCs/>
        </w:rPr>
        <w:t xml:space="preserve"> </w:t>
      </w:r>
      <w:r>
        <w:rPr>
          <w:b/>
          <w:bCs/>
        </w:rPr>
        <w:t xml:space="preserve">центральностью участника.</w:t>
      </w:r>
      <w:r>
        <w:t xml:space="preserve"> </w:t>
      </w:r>
      <w:r>
        <w:t xml:space="preserve">Прямые видеоссылки есть у 82 докладов; доля видео у</w:t>
      </w:r>
      <w:r>
        <w:t xml:space="preserve"> </w:t>
      </w:r>
      <w:r>
        <w:t xml:space="preserve">докладов ядра (9.0%) почти не отличается от не-ядра (9.5%), а у перекрестных</w:t>
      </w:r>
      <w:r>
        <w:t xml:space="preserve"> </w:t>
      </w:r>
      <w:r>
        <w:t xml:space="preserve">участников (8.2%) – от одноплощадочных (9.8%). Значит YouTube-покрытие отражает</w:t>
      </w:r>
      <w:r>
        <w:t xml:space="preserve"> </w:t>
      </w:r>
      <w:r>
        <w:t xml:space="preserve">не столько статус автора, сколько год, режим записи и последующую публикацию</w:t>
      </w:r>
      <w:r>
        <w:t xml:space="preserve"> </w:t>
      </w:r>
      <w:r>
        <w:t xml:space="preserve">материалов.</w:t>
      </w:r>
    </w:p>
    <w:bookmarkEnd w:id="60"/>
    <w:bookmarkStart w:id="61" w:name="X520e2aba90629ba133a201935eafe38e2634f9f"/>
    <w:p>
      <w:pPr>
        <w:pStyle w:val="Heading3"/>
      </w:pPr>
      <w:r>
        <w:t xml:space="preserve">10.3. Гумилевская шкала как ось масштаба обобщения</w:t>
      </w:r>
    </w:p>
    <w:p>
      <w:pPr>
        <w:pStyle w:val="FirstParagraph"/>
      </w:pPr>
      <w:r>
        <w:rPr>
          <w:b/>
          <w:bCs/>
        </w:rPr>
        <w:t xml:space="preserve">Н26. Российская конференционная индология устроена как культура микрокейса.</w:t>
      </w:r>
      <w:r>
        <w:t xml:space="preserve"> </w:t>
      </w:r>
      <w:r>
        <w:t xml:space="preserve">Это самый сильный результат гумилевской шкалы: из 895 уникальных докладов 852</w:t>
      </w:r>
      <w:r>
        <w:t xml:space="preserve"> </w:t>
      </w:r>
      <w:r>
        <w:t xml:space="preserve">(95.2%) относятся к G1, то есть к уровню отдельного текста, автора, источника,</w:t>
      </w:r>
      <w:r>
        <w:t xml:space="preserve"> </w:t>
      </w:r>
      <w:r>
        <w:t xml:space="preserve">термина или локального сюжета. G2 включает 37 докладов, G3 – только 6. Поэтому</w:t>
      </w:r>
      <w:r>
        <w:t xml:space="preserve"> </w:t>
      </w:r>
      <w:r>
        <w:t xml:space="preserve">микрокейс в данном корпусе не маргинален, а является нормой жанра.</w:t>
      </w:r>
    </w:p>
    <w:p>
      <w:pPr>
        <w:pStyle w:val="BodyText"/>
      </w:pPr>
      <w:r>
        <w:rPr>
          <w:b/>
          <w:bCs/>
        </w:rPr>
        <w:t xml:space="preserve">Н27. «Мостовые» участники не являются макрообобщающими синтетиками.</w:t>
      </w:r>
      <w:r>
        <w:t xml:space="preserve"> </w:t>
      </w:r>
      <w:r>
        <w:t xml:space="preserve">У авторов</w:t>
      </w:r>
      <w:r>
        <w:t xml:space="preserve"> </w:t>
      </w:r>
      <w:r>
        <w:t xml:space="preserve">перекрестной когорты доля G2/G3 составляет лишь 2.3%, тогда как у участников,</w:t>
      </w:r>
      <w:r>
        <w:t xml:space="preserve"> </w:t>
      </w:r>
      <w:r>
        <w:t xml:space="preserve">видимых только на одной площадке, – 6.5%; различие предварительно значимо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0.0037</m:t>
        </m:r>
      </m:oMath>
      <w:r>
        <w:t xml:space="preserve">). Это важный результат: посредники между площадками связывают</w:t>
      </w:r>
      <w:r>
        <w:t xml:space="preserve"> </w:t>
      </w:r>
      <w:r>
        <w:t xml:space="preserve">поле не за счет больших цивилизационных синтезов, а за счет устойчивых частных</w:t>
      </w:r>
      <w:r>
        <w:t xml:space="preserve"> </w:t>
      </w:r>
      <w:r>
        <w:t xml:space="preserve">специализаций.</w:t>
      </w:r>
    </w:p>
    <w:p>
      <w:pPr>
        <w:pStyle w:val="BodyText"/>
      </w:pPr>
      <w:r>
        <w:rPr>
          <w:b/>
          <w:bCs/>
        </w:rPr>
        <w:t xml:space="preserve">Н28. Зографские чтения чуть терпимее к обобщающим докладам, чем Рериховские,</w:t>
      </w:r>
      <w:r>
        <w:rPr>
          <w:b/>
          <w:bCs/>
        </w:rPr>
        <w:t xml:space="preserve"> </w:t>
      </w:r>
      <w:r>
        <w:rPr>
          <w:b/>
          <w:bCs/>
        </w:rPr>
        <w:t xml:space="preserve">но эффект слабый.</w:t>
      </w:r>
      <w:r>
        <w:t xml:space="preserve"> </w:t>
      </w:r>
      <w:r>
        <w:t xml:space="preserve">Доля G2/G3 на Зографе составляет 31 из 540 докладов (5.7%),</w:t>
      </w:r>
      <w:r>
        <w:t xml:space="preserve"> </w:t>
      </w:r>
      <w:r>
        <w:t xml:space="preserve">на Рериховских – 12 из 355 (3.4%); точный тест дает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0.113</m:t>
        </m:r>
      </m:oMath>
      <w:r>
        <w:t xml:space="preserve">. Это</w:t>
      </w:r>
      <w:r>
        <w:t xml:space="preserve"> </w:t>
      </w:r>
      <w:r>
        <w:t xml:space="preserve">направление различия согласуется с образом Зографа как более широкой площадки, но</w:t>
      </w:r>
      <w:r>
        <w:t xml:space="preserve"> </w:t>
      </w:r>
      <w:r>
        <w:t xml:space="preserve">пока не должно трактоваться как доказанный институциональный фильтр.</w:t>
      </w:r>
    </w:p>
    <w:p>
      <w:pPr>
        <w:pStyle w:val="BodyText"/>
      </w:pPr>
      <w:r>
        <w:rPr>
          <w:b/>
          <w:bCs/>
        </w:rPr>
        <w:t xml:space="preserve">Н29. Рост обобщающих докладов не является линейным историческим трендом.</w:t>
      </w:r>
      <w:r>
        <w:t xml:space="preserve"> </w:t>
      </w:r>
      <w:r>
        <w:t xml:space="preserve">Доля</w:t>
      </w:r>
      <w:r>
        <w:t xml:space="preserve"> </w:t>
      </w:r>
      <w:r>
        <w:t xml:space="preserve">G2/G3 по периодам меняется от 2.8% в 2004–2010 гг. до 4.0% в 2011–2017 гг.,</w:t>
      </w:r>
      <w:r>
        <w:t xml:space="preserve"> </w:t>
      </w:r>
      <w:r>
        <w:t xml:space="preserve">5.7% в 2018–2022 гг. и 4.7% в 2023–2026 гг. Есть умеренный всплеск в среднем</w:t>
      </w:r>
      <w:r>
        <w:t xml:space="preserve"> </w:t>
      </w:r>
      <w:r>
        <w:t xml:space="preserve">периоде, но нет устойчивого движения от микрокейсов к макросинтезу.</w:t>
      </w:r>
    </w:p>
    <w:p>
      <w:pPr>
        <w:pStyle w:val="BodyText"/>
      </w:pPr>
      <w:r>
        <w:rPr>
          <w:b/>
          <w:bCs/>
        </w:rPr>
        <w:t xml:space="preserve">Н30. Видеоархив усиливает видимость микрокейсов, а не синтетических докладов.</w:t>
      </w:r>
      <w:r>
        <w:t xml:space="preserve"> </w:t>
      </w:r>
      <w:r>
        <w:t xml:space="preserve">Среди 82 докладов с прямыми видеоссылками 81 относится к G1, один – к G2 и ни</w:t>
      </w:r>
      <w:r>
        <w:t xml:space="preserve"> </w:t>
      </w:r>
      <w:r>
        <w:t xml:space="preserve">один – к G3. Это не доказывает, что синтетические доклады не записываются, но</w:t>
      </w:r>
      <w:r>
        <w:t xml:space="preserve"> </w:t>
      </w:r>
      <w:r>
        <w:t xml:space="preserve">показывает: доступный медиаслой почти полностью микрокейсовый и потому не является</w:t>
      </w:r>
      <w:r>
        <w:t xml:space="preserve"> </w:t>
      </w:r>
      <w:r>
        <w:t xml:space="preserve">хорошим источником для изучения макрообобщающих жанров.</w:t>
      </w:r>
    </w:p>
    <w:p>
      <w:pPr>
        <w:pStyle w:val="BodyText"/>
      </w:pPr>
      <w:r>
        <w:rPr>
          <w:b/>
          <w:bCs/>
        </w:rPr>
        <w:t xml:space="preserve">Н31. G3-доклады образуют редкий жанр программного или цивилизационного</w:t>
      </w:r>
      <w:r>
        <w:rPr>
          <w:b/>
          <w:bCs/>
        </w:rPr>
        <w:t xml:space="preserve"> </w:t>
      </w:r>
      <w:r>
        <w:rPr>
          <w:b/>
          <w:bCs/>
        </w:rPr>
        <w:t xml:space="preserve">высказывания.</w:t>
      </w:r>
      <w:r>
        <w:t xml:space="preserve"> </w:t>
      </w:r>
      <w:r>
        <w:t xml:space="preserve">В корпусе всего шесть G3-докладов: о моделях христианского и</w:t>
      </w:r>
      <w:r>
        <w:t xml:space="preserve"> </w:t>
      </w:r>
      <w:r>
        <w:t xml:space="preserve">индо-буддийского времени, мифологиях северных мунда, южноазиатско-африканских</w:t>
      </w:r>
      <w:r>
        <w:t xml:space="preserve"> </w:t>
      </w:r>
      <w:r>
        <w:t xml:space="preserve">связях, индийской эпистемической культуре и Западе, «фейковой индологии» и</w:t>
      </w:r>
      <w:r>
        <w:t xml:space="preserve"> </w:t>
      </w:r>
      <w:r>
        <w:t xml:space="preserve">цивилизационной демаркации Восток–Запад. Их следует анализировать качественно</w:t>
      </w:r>
      <w:r>
        <w:t xml:space="preserve"> </w:t>
      </w:r>
      <w:r>
        <w:t xml:space="preserve">как особый жанр «большой рамки», а не как статистически массовое явление.</w:t>
      </w:r>
    </w:p>
    <w:p>
      <w:pPr>
        <w:pStyle w:val="BodyText"/>
      </w:pPr>
      <w:r>
        <w:rPr>
          <w:b/>
          <w:bCs/>
        </w:rPr>
        <w:t xml:space="preserve">Н32. Ядро не производит больше макрообобщений, чем периферия.</w:t>
      </w:r>
      <w:r>
        <w:t xml:space="preserve"> </w:t>
      </w:r>
      <w:r>
        <w:t xml:space="preserve">У докладов,</w:t>
      </w:r>
      <w:r>
        <w:t xml:space="preserve"> </w:t>
      </w:r>
      <w:r>
        <w:t xml:space="preserve">связанных с авторами ядра, G2/G3 составляет 28 из 653 (4.3%), у периферии – 15</w:t>
      </w:r>
      <w:r>
        <w:t xml:space="preserve"> </w:t>
      </w:r>
      <w:r>
        <w:t xml:space="preserve">из 242 (6.2%); различие незначимо (</w:t>
      </w:r>
      <m:oMath>
        <m:r>
          <m:t>p</m:t>
        </m:r>
        <m:r>
          <m:rPr>
            <m:sty m:val="p"/>
          </m:rPr>
          <m:t>≈</m:t>
        </m:r>
        <m:r>
          <m:t>0.290</m:t>
        </m:r>
      </m:oMath>
      <w:r>
        <w:t xml:space="preserve">). Это не поддерживает</w:t>
      </w:r>
      <w:r>
        <w:t xml:space="preserve"> </w:t>
      </w:r>
      <w:r>
        <w:t xml:space="preserve">интуицию, что накопленный статус автоматически ведет к более широкому масштабу</w:t>
      </w:r>
      <w:r>
        <w:t xml:space="preserve"> </w:t>
      </w:r>
      <w:r>
        <w:t xml:space="preserve">обобщения.</w:t>
      </w:r>
    </w:p>
    <w:p>
      <w:pPr>
        <w:pStyle w:val="BodyText"/>
      </w:pPr>
      <w:r>
        <w:rPr>
          <w:b/>
          <w:bCs/>
        </w:rPr>
        <w:t xml:space="preserve">Н33. Дебютанты не входят через более узкие темы, чем повторные участники.</w:t>
      </w:r>
      <w:r>
        <w:t xml:space="preserve"> </w:t>
      </w:r>
      <w:r>
        <w:t xml:space="preserve">Среди</w:t>
      </w:r>
      <w:r>
        <w:t xml:space="preserve"> </w:t>
      </w:r>
      <w:r>
        <w:t xml:space="preserve">дебютных докладов G2/G3 составляет 10 из 174 (5.7%), среди повторных – 33 из 721</w:t>
      </w:r>
      <w:r>
        <w:t xml:space="preserve"> </w:t>
      </w:r>
      <w:r>
        <w:t xml:space="preserve">(4.6%); различие незначимо (</w:t>
      </w:r>
      <m:oMath>
        <m:r>
          <m:t>p</m:t>
        </m:r>
        <m:r>
          <m:rPr>
            <m:sty m:val="p"/>
          </m:rPr>
          <m:t>≈</m:t>
        </m:r>
        <m:r>
          <m:t>0.553</m:t>
        </m:r>
      </m:oMath>
      <w:r>
        <w:t xml:space="preserve">). Следовательно, микрокейсовость не</w:t>
      </w:r>
      <w:r>
        <w:t xml:space="preserve"> </w:t>
      </w:r>
      <w:r>
        <w:t xml:space="preserve">является особым входным барьером для новичков: она задает общий стиль поля.</w:t>
      </w:r>
    </w:p>
    <w:p>
      <w:pPr>
        <w:pStyle w:val="BodyText"/>
      </w:pPr>
      <w:r>
        <w:rPr>
          <w:b/>
          <w:bCs/>
        </w:rPr>
        <w:t xml:space="preserve">Н34. Дисциплины различаются по допустимому масштабу обобщения.</w:t>
      </w:r>
      <w:r>
        <w:t xml:space="preserve"> </w:t>
      </w:r>
      <w:r>
        <w:t xml:space="preserve">На текущей</w:t>
      </w:r>
      <w:r>
        <w:t xml:space="preserve"> </w:t>
      </w:r>
      <w:r>
        <w:t xml:space="preserve">крупной тематической сетке лингвистика/филология почти полностью микрокейсова</w:t>
      </w:r>
      <w:r>
        <w:t xml:space="preserve"> </w:t>
      </w:r>
      <w:r>
        <w:t xml:space="preserve">(G1 – 124 из 125 докладов), тогда как история культуры и неклассифицированные</w:t>
      </w:r>
      <w:r>
        <w:t xml:space="preserve"> </w:t>
      </w:r>
      <w:r>
        <w:t xml:space="preserve">междисциплинарные сюжеты чаще дают G2. Литература содержит три из шести G3-докладов.</w:t>
      </w:r>
      <w:r>
        <w:t xml:space="preserve"> </w:t>
      </w:r>
      <w:r>
        <w:t xml:space="preserve">Эта гипотеза требует дальнейшей проверки на более детальных подрубриках, но уже</w:t>
      </w:r>
      <w:r>
        <w:t xml:space="preserve"> </w:t>
      </w:r>
      <w:r>
        <w:t xml:space="preserve">показывает, что масштаб обобщения зависит от дисциплинарного жанра.</w:t>
      </w:r>
    </w:p>
    <w:p>
      <w:pPr>
        <w:pStyle w:val="BodyText"/>
      </w:pPr>
      <w:r>
        <w:rPr>
          <w:b/>
          <w:bCs/>
        </w:rPr>
        <w:t xml:space="preserve">Н35. Обобщающие доклады допускаются прежде всего как голос старшего поколения,</w:t>
      </w:r>
      <w:r>
        <w:rPr>
          <w:b/>
          <w:bCs/>
        </w:rPr>
        <w:t xml:space="preserve"> </w:t>
      </w:r>
      <w:r>
        <w:rPr>
          <w:b/>
          <w:bCs/>
        </w:rPr>
        <w:t xml:space="preserve">особенно на уровне G3.</w:t>
      </w:r>
      <w:r>
        <w:t xml:space="preserve"> </w:t>
      </w:r>
      <w:r>
        <w:t xml:space="preserve">Для всех G2/G3 вместе возрастной эффект умеренный: медиана</w:t>
      </w:r>
      <w:r>
        <w:t xml:space="preserve"> </w:t>
      </w:r>
      <w:r>
        <w:t xml:space="preserve">возраста авторского участия составляет 50 лет против 45 лет у G1, а тест Манна–Уитни</w:t>
      </w:r>
      <w:r>
        <w:t xml:space="preserve"> </w:t>
      </w:r>
      <w:r>
        <w:t xml:space="preserve">дает лишь тенденцию (</w:t>
      </w:r>
      <m:oMath>
        <m:r>
          <m:t>p</m:t>
        </m:r>
        <m:r>
          <m:rPr>
            <m:sty m:val="p"/>
          </m:rPr>
          <m:t>≈</m:t>
        </m:r>
        <m:r>
          <m:t>0.066</m:t>
        </m:r>
      </m:oMath>
      <w:r>
        <w:t xml:space="preserve">). Но для редкого уровня G3 картина сильнее:</w:t>
      </w:r>
      <w:r>
        <w:t xml:space="preserve"> </w:t>
      </w:r>
      <w:r>
        <w:t xml:space="preserve">медианный возраст автора – 66 лет, 4 из 6 G3-докладов сделаны участниками старше</w:t>
      </w:r>
      <w:r>
        <w:t xml:space="preserve"> </w:t>
      </w:r>
      <w:r>
        <w:t xml:space="preserve">60 лет. Поэтому гипотеза формулируется так: широкое цивилизационное обобщение не</w:t>
      </w:r>
      <w:r>
        <w:t xml:space="preserve"> </w:t>
      </w:r>
      <w:r>
        <w:t xml:space="preserve">запрещено полностью, но в наблюдаемом корпусе оно появляется главным образом как</w:t>
      </w:r>
      <w:r>
        <w:t xml:space="preserve"> </w:t>
      </w:r>
      <w:r>
        <w:t xml:space="preserve">жанр признанного старшего или уже авторитетного голоса, тогда как базовой нормой</w:t>
      </w:r>
      <w:r>
        <w:t xml:space="preserve"> </w:t>
      </w:r>
      <w:r>
        <w:t xml:space="preserve">для поля остается микрокейс.</w:t>
      </w:r>
    </w:p>
    <w:p>
      <w:pPr>
        <w:pStyle w:val="BodyText"/>
      </w:pPr>
      <w:r>
        <w:t xml:space="preserve">Таким образом, Н11–Н35 расширяют основную аргументацию статьи в сторону критики</w:t>
      </w:r>
      <w:r>
        <w:t xml:space="preserve"> </w:t>
      </w:r>
      <w:r>
        <w:t xml:space="preserve">источника и жанра. Они показывают, что корпус содержит не только данные о людях и</w:t>
      </w:r>
      <w:r>
        <w:t xml:space="preserve"> </w:t>
      </w:r>
      <w:r>
        <w:t xml:space="preserve">темах, но и следы разных режимов публичной репрезентации: программы по-разному</w:t>
      </w:r>
      <w:r>
        <w:t xml:space="preserve"> </w:t>
      </w:r>
      <w:r>
        <w:t xml:space="preserve">показывают аффилиации, видеозаписи неравномерно распределяют видимость, микрокейсы</w:t>
      </w:r>
      <w:r>
        <w:t xml:space="preserve"> </w:t>
      </w:r>
      <w:r>
        <w:t xml:space="preserve">являются нормативным форматом доклада, а редкие обобщения чаще связаны с особым</w:t>
      </w:r>
      <w:r>
        <w:t xml:space="preserve"> </w:t>
      </w:r>
      <w:r>
        <w:t xml:space="preserve">статусом, дисциплиной и поколенческой позицией автора.</w:t>
      </w:r>
    </w:p>
    <w:bookmarkEnd w:id="61"/>
    <w:bookmarkEnd w:id="62"/>
    <w:bookmarkStart w:id="63" w:name="заключение"/>
    <w:p>
      <w:pPr>
        <w:pStyle w:val="Heading2"/>
      </w:pPr>
      <w:r>
        <w:t xml:space="preserve">11. Заключение</w:t>
      </w:r>
    </w:p>
    <w:p>
      <w:pPr>
        <w:pStyle w:val="FirstParagraph"/>
      </w:pPr>
      <w:r>
        <w:t xml:space="preserve">Главные выводы настоящего исследования можно резюмировать в двадцати пунктах.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Две площадки представляют две разные модели институционализации.</w:t>
      </w:r>
      <w:r>
        <w:t xml:space="preserve"> </w:t>
      </w:r>
      <w:r>
        <w:t xml:space="preserve">Рериховские</w:t>
      </w:r>
      <w:r>
        <w:t xml:space="preserve"> </w:t>
      </w:r>
      <w:r>
        <w:t xml:space="preserve">чтения — компактная конференция меньшего, но устойчиво воспроизводящегося сообщества,</w:t>
      </w:r>
      <w:r>
        <w:t xml:space="preserve"> </w:t>
      </w:r>
      <w:r>
        <w:t xml:space="preserve">с плотным «институциональным ядром» сотрудников ИВ РАН; Зографские чтения — более</w:t>
      </w:r>
      <w:r>
        <w:t xml:space="preserve"> </w:t>
      </w:r>
      <w:r>
        <w:t xml:space="preserve">широкая межинституциональная площадка с большим числом разовых участников.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Метрики закрытости описательно поддерживают это различие</w:t>
      </w:r>
      <w:r>
        <w:t xml:space="preserve">: доля ядра в</w:t>
      </w:r>
      <w:r>
        <w:t xml:space="preserve"> </w:t>
      </w:r>
      <w:r>
        <w:t xml:space="preserve">Рериховских чтениях выше на 6.2–7.9 процентного пункта в зависимости от включения</w:t>
      </w:r>
      <w:r>
        <w:t xml:space="preserve"> </w:t>
      </w:r>
      <w:r>
        <w:t xml:space="preserve">предварительной программы 2026 г.; удержание дебютантов выше на 1.4–5.2 пункта;</w:t>
      </w:r>
      <w:r>
        <w:t xml:space="preserve"> </w:t>
      </w:r>
      <w:r>
        <w:t xml:space="preserve">доля разовых участников ниже. При этом эти</w:t>
      </w:r>
      <w:r>
        <w:t xml:space="preserve"> </w:t>
      </w:r>
      <w:r>
        <w:t xml:space="preserve">различия не следует превращать в доказательство скрытого механизма отбора без</w:t>
      </w:r>
      <w:r>
        <w:t xml:space="preserve"> </w:t>
      </w:r>
      <w:r>
        <w:t xml:space="preserve">дополнительных источников о заявках и отказах.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Тематические профили двух площадок различаются структурно</w:t>
      </w:r>
      <w:r>
        <w:t xml:space="preserve">: Зограф —</w:t>
      </w:r>
      <w:r>
        <w:t xml:space="preserve"> </w:t>
      </w:r>
      <w:r>
        <w:t xml:space="preserve">преимущественно литература, философия, религиоведение; Рерих — религиоведение,</w:t>
      </w:r>
      <w:r>
        <w:t xml:space="preserve"> </w:t>
      </w:r>
      <w:r>
        <w:t xml:space="preserve">литература, история и искусство. Двукратные асимметрии по философии, истории,</w:t>
      </w:r>
      <w:r>
        <w:t xml:space="preserve"> </w:t>
      </w:r>
      <w:r>
        <w:t xml:space="preserve">искусству и тибетологии поддержаны общими тестами распределения L1/L2 и устойчивы</w:t>
      </w:r>
      <w:r>
        <w:t xml:space="preserve"> </w:t>
      </w:r>
      <w:r>
        <w:t xml:space="preserve">к исключению низкоуверенных и неполных заголовков.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Рериховские чтения тематически зафиксированы на «золотом веке» — на классическом</w:t>
      </w:r>
      <w:r>
        <w:rPr>
          <w:b/>
          <w:bCs/>
        </w:rPr>
        <w:t xml:space="preserve"> </w:t>
      </w:r>
      <w:r>
        <w:rPr>
          <w:b/>
          <w:bCs/>
        </w:rPr>
        <w:t xml:space="preserve">и средневековом периодах в совокупности 74%</w:t>
      </w:r>
      <w:r>
        <w:t xml:space="preserve">, тогда как Зографские чтения сохраняют</w:t>
      </w:r>
      <w:r>
        <w:t xml:space="preserve"> </w:t>
      </w:r>
      <w:r>
        <w:t xml:space="preserve">более широкое периодическое распределение, включая колониальную и современную</w:t>
      </w:r>
      <w:r>
        <w:t xml:space="preserve"> </w:t>
      </w:r>
      <w:r>
        <w:t xml:space="preserve">проблематику.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Гипотеза о систематическом тематическом фильтре, отсекающем «прикладные» темы,</w:t>
      </w:r>
      <w:r>
        <w:rPr>
          <w:b/>
          <w:bCs/>
        </w:rPr>
        <w:t xml:space="preserve"> </w:t>
      </w:r>
      <w:r>
        <w:rPr>
          <w:b/>
          <w:bCs/>
        </w:rPr>
        <w:t xml:space="preserve">нашими данными не подтверждается</w:t>
      </w:r>
      <w:r>
        <w:t xml:space="preserve">: доля прикладных и методологических докладов</w:t>
      </w:r>
      <w:r>
        <w:t xml:space="preserve"> </w:t>
      </w:r>
      <w:r>
        <w:t xml:space="preserve">практически идентична на обеих площадках (6–7%). Отказы по этому признаку, если</w:t>
      </w:r>
      <w:r>
        <w:t xml:space="preserve"> </w:t>
      </w:r>
      <w:r>
        <w:t xml:space="preserve">они случаются, имеют характер избирательных решений по конкретным заявкам, а не</w:t>
      </w:r>
      <w:r>
        <w:t xml:space="preserve"> </w:t>
      </w:r>
      <w:r>
        <w:t xml:space="preserve">доктринального правила.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Декларированный критерий XLVII Зографских чтений 2026 г.</w:t>
      </w:r>
      <w:r>
        <w:t xml:space="preserve"> </w:t>
      </w:r>
      <w:r>
        <w:t xml:space="preserve">— участие «ученых-</w:t>
      </w:r>
      <w:r>
        <w:t xml:space="preserve"> </w:t>
      </w:r>
      <w:r>
        <w:t xml:space="preserve">индологов из профильных академических учреждений» — не может быть проверен из</w:t>
      </w:r>
      <w:r>
        <w:t xml:space="preserve"> </w:t>
      </w:r>
      <w:r>
        <w:t xml:space="preserve">опубликованной программы: в ней не указаны учреждения участников, только города.</w:t>
      </w:r>
      <w:r>
        <w:t xml:space="preserve"> </w:t>
      </w:r>
      <w:r>
        <w:t xml:space="preserve">Проверка по предыдущим программам документирует институциональную аффилиацию лишь</w:t>
      </w:r>
      <w:r>
        <w:t xml:space="preserve"> </w:t>
      </w:r>
      <w:r>
        <w:t xml:space="preserve">для меньшей части состава. Минимум два доклада в этой программе относятся к школьной</w:t>
      </w:r>
      <w:r>
        <w:t xml:space="preserve"> </w:t>
      </w:r>
      <w:r>
        <w:t xml:space="preserve">педагогической практике, что дополнительно показывает: формулировка критерия</w:t>
      </w:r>
      <w:r>
        <w:t xml:space="preserve"> </w:t>
      </w:r>
      <w:r>
        <w:t xml:space="preserve">нуждается в пояснении, поскольку смешивает институциональный статус автора и</w:t>
      </w:r>
      <w:r>
        <w:t xml:space="preserve"> </w:t>
      </w:r>
      <w:r>
        <w:t xml:space="preserve">тематический профиль доклада. Сама форма публикуемой программы делает декларированный</w:t>
      </w:r>
      <w:r>
        <w:t xml:space="preserve"> </w:t>
      </w:r>
      <w:r>
        <w:t xml:space="preserve">критерий технически непроверяемым.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Перекрестная когорта устроена как сеть посредников, а не как простая сумма двух</w:t>
      </w:r>
      <w:r>
        <w:rPr>
          <w:b/>
          <w:bCs/>
        </w:rPr>
        <w:t xml:space="preserve"> </w:t>
      </w:r>
      <w:r>
        <w:rPr>
          <w:b/>
          <w:bCs/>
        </w:rPr>
        <w:t xml:space="preserve">лагерей.</w:t>
      </w:r>
      <w:r>
        <w:t xml:space="preserve"> </w:t>
      </w:r>
      <w:r>
        <w:t xml:space="preserve">ИКВИА/ВШЭ является одним из заметных новых мостов, но сопоставим с ИСАА</w:t>
      </w:r>
      <w:r>
        <w:t xml:space="preserve"> </w:t>
      </w:r>
      <w:r>
        <w:t xml:space="preserve">МГУ и уступает ИВ РАН по числу перекрестных участников. Тематически эти участники</w:t>
      </w:r>
      <w:r>
        <w:t xml:space="preserve"> </w:t>
      </w:r>
      <w:r>
        <w:t xml:space="preserve">чаще сохраняют собственную специализацию на обеих площадках, чем адаптируют доклады</w:t>
      </w:r>
      <w:r>
        <w:t xml:space="preserve"> </w:t>
      </w:r>
      <w:r>
        <w:t xml:space="preserve">под локальную повестку.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Использование фракционного институционального счета не приводит к заметным сдвигам в иерархии организаций.</w:t>
      </w:r>
      <w:r>
        <w:t xml:space="preserve"> </w:t>
      </w:r>
      <w:r>
        <w:t xml:space="preserve">Это обусловлено спецификой отечественной индологической школы: более 99% представленных на обеих площадках докладов подготовлены индивидуально, а случаи двойной или тройной аффилиации единичны. Основным препятствием для точного картирования институтов остается источниковедческая лакуна в программах Зографских чтений, опускающих места работы докладчиков.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Географическое притяжение площадок глубоко поляризовано.</w:t>
      </w:r>
      <w:r>
        <w:t xml:space="preserve"> </w:t>
      </w:r>
      <w:r>
        <w:t xml:space="preserve">Санкт-Петербург выступает как паритетное место встречи двух столиц (43.8% петербургских и 42.6% московских докладов), тогда как Москва ориентирована вовнутрь (лишь 9% петербургских докладов на Рериховских чтениях). При этом «выживаемость» (возвращаемость на конференции) у региональных участников значимо ниже столичной (36.1% против ~59%,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0.0191</m:t>
        </m:r>
      </m:oMath>
      <w:r>
        <w:t xml:space="preserve">), что подчеркивает периферийность и эпизодичность регионального участия.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Смена оргкомитета Зографских чтений при переходе к периоду 2025–2026 гг. пока не показывает статистически значимого изменения кадровой или тематической политики.</w:t>
      </w:r>
      <w:r>
        <w:t xml:space="preserve"> </w:t>
      </w:r>
      <w:r>
        <w:t xml:space="preserve">Приток новых авторов (</w:t>
      </w:r>
      <m:oMath>
        <m:r>
          <m:t>p</m:t>
        </m:r>
        <m:r>
          <m:rPr>
            <m:sty m:val="p"/>
          </m:rPr>
          <m:t>=</m:t>
        </m:r>
        <m:r>
          <m:t>0.7603</m:t>
        </m:r>
      </m:oMath>
      <w:r>
        <w:t xml:space="preserve">), дисциплинарная структура L1 (</w:t>
      </w:r>
      <m:oMath>
        <m:r>
          <m:t>p</m:t>
        </m:r>
        <m:r>
          <m:rPr>
            <m:sty m:val="p"/>
          </m:rPr>
          <m:t>=</m:t>
        </m:r>
        <m:r>
          <m:t>0.8463</m:t>
        </m:r>
      </m:oMath>
      <w:r>
        <w:t xml:space="preserve">) и распределение периодов L2 (</w:t>
      </w:r>
      <m:oMath>
        <m:r>
          <m:t>p</m:t>
        </m:r>
        <m:r>
          <m:rPr>
            <m:sty m:val="p"/>
          </m:rPr>
          <m:t>=</m:t>
        </m:r>
        <m:r>
          <m:t>0.2619</m:t>
        </m:r>
      </m:oMath>
      <w:r>
        <w:t xml:space="preserve">) значимых изменений не претерпели. Описательное снижение доли классического периода с 37.6% до 26.3% требует наблюдения на следующих программах, поскольку текущий переходный срез слишком короток.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«Сериализация» докладов (практика salami slicing) не выступает доминирующей стратегией участников.</w:t>
      </w:r>
      <w:r>
        <w:t xml:space="preserve"> </w:t>
      </w:r>
      <w:r>
        <w:t xml:space="preserve">Доля сериализованных докладов крайне низка; при этом относительная доля у периферии выше, чем у ядра (5.7% против 2.6%,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0.0153</m:t>
        </m:r>
      </m:oMath>
      <w:r>
        <w:t xml:space="preserve">), что опровергает сильную версию гипотезы о большей склонности ядра к дроблению тем. Обнаруженная слабая корреляция между числом выступлений автора и количеством его сериализованных работ (</w:t>
      </w:r>
      <m:oMath>
        <m:r>
          <m:t>ρ</m:t>
        </m:r>
        <m:r>
          <m:rPr>
            <m:sty m:val="p"/>
          </m:rPr>
          <m:t>=</m:t>
        </m:r>
        <m:r>
          <m:t>0.276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 указывает на то, что это скорее индивидуальный исследовательский стиль долгосрочного ведения крупных тем, нежели тактика искусственного завышения активности.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«Город вместо учреждения» является прежде всего источниковедческим эффектом.</w:t>
      </w:r>
      <w:r>
        <w:t xml:space="preserve"> </w:t>
      </w:r>
      <w:r>
        <w:t xml:space="preserve">Различие между Зографскими и Рериховскими чтениями по доле записей только с городом слишком велико и устойчиво, чтобы читать его как прямое свидетельство биографической внеинституциональности участников. Оно отражает разные стандарты публикации программ.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Гипотеза о внеуниверситетском характере периферии требует отдельной проверки.</w:t>
      </w:r>
      <w:r>
        <w:t xml:space="preserve"> </w:t>
      </w:r>
      <w:r>
        <w:t xml:space="preserve">Корпус подтверждает более низкую возвращаемость региональных участников, но не позволяет автоматически установить тип их занятости. Поэтому тезис о периферийных неуниверситетских траекториях должен проверяться через authority-слой; Пенза выступает здесь не доказательством, а важным контрольным случаем.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YouTube-слой расширяет публичную проверяемость, но вносит смещение видимости.</w:t>
      </w:r>
      <w:r>
        <w:t xml:space="preserve"> </w:t>
      </w:r>
      <w:r>
        <w:t xml:space="preserve">178 собранных видеозаписей и 82 напрямую привязанных к базе доклада полезны для проверки отдельных случаев, однако их распределение по годам, площадкам и темам не репрезентативно для всего корпуса.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Шкала Гумилева показывает преобладание микрокейсового уровня.</w:t>
      </w:r>
      <w:r>
        <w:t xml:space="preserve"> </w:t>
      </w:r>
      <w:r>
        <w:t xml:space="preserve">Из 895 уникальных докладов 852 отнесены к уровню конкретного текста, автора, источника или локального сюжета; только 37 выходят на региональный уровень и 6 – на широкий сравнительный или методологический уровень. Это подтверждает текстоцентричный и кейсоцентричный характер поля.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Сопоставление заголовков с видеоконтекстом задает границу автоматической классификации.</w:t>
      </w:r>
      <w:r>
        <w:t xml:space="preserve"> </w:t>
      </w:r>
      <w:r>
        <w:t xml:space="preserve">В 76 из 89 сопоставленных видеослучаев уровень обобщения совпадает, но 13 расхождений показывают, что навигационная разметка не должна подменять ручную экспертную интерпретацию спорных докладов.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Онлайн-эпизод 2020 г. не создал отдельной устойчивой когорты.</w:t>
      </w:r>
      <w:r>
        <w:t xml:space="preserve"> </w:t>
      </w:r>
      <w:r>
        <w:t xml:space="preserve">Возвращаемость дебютантов 2020 г. не выше, чем у соседних лет; это поддерживает вывод о том, что долговременное включение в поле определяется не только технической доступностью участия.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Ядро и перекрестная когорта не являются автоматическими носителями макрообобщения.</w:t>
      </w:r>
      <w:r>
        <w:t xml:space="preserve"> </w:t>
      </w:r>
      <w:r>
        <w:t xml:space="preserve">Наоборот, перекрестные участники чаще удерживают частные специализации, а доля G2/G3 у них ниже, чем у одноплощадочных участников. Мостовая функция поля обеспечивается не большими синтезами, а устойчивостью личных исследовательских траекторий.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Гумилевская шкала задает отдельную ось анализа, не сводимую к тематическим кодам.</w:t>
      </w:r>
      <w:r>
        <w:t xml:space="preserve"> </w:t>
      </w:r>
      <w:r>
        <w:t xml:space="preserve">Она показывает не «о чем» доклад, а на каком масштабе он говорит: микрокейс, региональная традиция или широкое сравнение. В этом смысле она выявляет жанровую норму поля лучше, чем обычная дисциплинарная рубрика.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Широкое обобщение остается редким и поколенчески маркированным жанром.</w:t>
      </w:r>
      <w:r>
        <w:t xml:space="preserve"> </w:t>
      </w:r>
      <w:r>
        <w:t xml:space="preserve">G3 почти не встречается и чаще принадлежит старшим или уже авторитетным участникам. Поэтому микрокейс не просто допустим, а фактически приветствуется как нормальный формат выступления, тогда как большое обобщение оказывается исключительным правом особого голоса.</w:t>
      </w:r>
    </w:p>
    <w:p>
      <w:pPr>
        <w:pStyle w:val="FirstParagraph"/>
      </w:pPr>
      <w:r>
        <w:t xml:space="preserve">Демографически обе площадки демонстрируют не простое монотонное старение, а более</w:t>
      </w:r>
      <w:r>
        <w:t xml:space="preserve"> </w:t>
      </w:r>
      <w:r>
        <w:t xml:space="preserve">сложную задачу воспроизводства состава. Сплошная биографическая верификация показывает,</w:t>
      </w:r>
      <w:r>
        <w:t xml:space="preserve"> </w:t>
      </w:r>
      <w:r>
        <w:t xml:space="preserve">что возраст первого наблюдаемого выступления снижается по сравнению с ранним периодом,</w:t>
      </w:r>
      <w:r>
        <w:t xml:space="preserve"> </w:t>
      </w:r>
      <w:r>
        <w:t xml:space="preserve">а в 2025 г. обе площадки сходятся на медианном возрасте участников 47.5 лет. Поэтому</w:t>
      </w:r>
      <w:r>
        <w:t xml:space="preserve"> </w:t>
      </w:r>
      <w:r>
        <w:t xml:space="preserve">главное напряжение состоит не в механическом отсутствии молодых кадров, а в том, что</w:t>
      </w:r>
      <w:r>
        <w:t xml:space="preserve"> </w:t>
      </w:r>
      <w:r>
        <w:t xml:space="preserve">новые участники и региональная периферия слабее закрепляются в устойчивой когорте.</w:t>
      </w:r>
      <w:r>
        <w:t xml:space="preserve"> </w:t>
      </w:r>
      <w:r>
        <w:t xml:space="preserve">В обозримой перспективе обе сегодняшние модели институционализации (плотное ядро</w:t>
      </w:r>
      <w:r>
        <w:t xml:space="preserve"> </w:t>
      </w:r>
      <w:r>
        <w:t xml:space="preserve">ИВ РАН в Москве и более диффузная межинституциональная сеть в Петербурге) будут</w:t>
      </w:r>
      <w:r>
        <w:t xml:space="preserve"> </w:t>
      </w:r>
      <w:r>
        <w:t xml:space="preserve">испытаны на прочность задачей привлечения и удержания новых поколений.</w:t>
      </w:r>
    </w:p>
    <w:p>
      <w:pPr>
        <w:pStyle w:val="BodyText"/>
      </w:pPr>
      <w:r>
        <w:t xml:space="preserve">В целом, полученные результаты позволяют не просто зафиксировать отдельные статистические закономерности, но и реконструировать целостную социологическую картину современной отечественной индологии. Эта картина далека от идеала солидарного научного сообщества. Скорее перед нами предстает глубоко фрагментированное, биполярное пространство, организованное по принципу академического партикуляризма и клановой замкнутости.</w:t>
      </w:r>
    </w:p>
    <w:p>
      <w:pPr>
        <w:pStyle w:val="BodyText"/>
      </w:pPr>
      <w:r>
        <w:t xml:space="preserve">Синтез проверенных гипотез обнаруживает внутреннюю логику этого разделения, где каждый статистический факт служит индикатором более глубоких социоструктурных процессов: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Экстремальный индивидуализм как отказ от интеграции (Н7).</w:t>
      </w:r>
      <w:r>
        <w:t xml:space="preserve"> </w:t>
      </w:r>
      <w:r>
        <w:t xml:space="preserve">Практически стопроцентная доля единоличных докладов (&gt;99%) выходит за рамки традиционной для гуманитарных наук специфики письма. В контексте сетевого анализа это свидетельствует о дефиците коллективных исследовательских программ и недоверии к совместной работе. Каждый исследователь выступает как «институциональный автоном», оберегающий границы своей персональной делянки.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Монотематическая сериализация как индивидуальный стиль, а не массовая стратегия (Н10).</w:t>
      </w:r>
      <w:r>
        <w:t xml:space="preserve"> </w:t>
      </w:r>
      <w:r>
        <w:t xml:space="preserve">Проверка показала низкую общую долю сериализованных докладов и не поддержала версию о повышенной склонности ядра к дроблению тем: относительная доля сериализации выше у периферии, тогда как абсолютное число таких случаев слабо связано с общим объемом выступлений автора. Поэтому этот признак не следует трактовать как доминирующий механизм закрытости сообщества; скорее он указывает на отдельные долговременные исследовательские траектории, где авторы годами разворачивают один узкий сюжет.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Географическая асимметрия и «выталкивание» периферии (Н9).</w:t>
      </w:r>
      <w:r>
        <w:t xml:space="preserve"> </w:t>
      </w:r>
      <w:r>
        <w:t xml:space="preserve">Отношения между ключевыми центрами носят характер неравного обмена. Готовность московских исследователей активно присутствовать в петербургском пространстве (42.6%) при практическом игнорировании петербуржцами московской площадки (9.0%) указывает не на гармоничную интеграцию, а на скрытое соперничество и негласную иерархию. В то же время низкая выживаемость региональных ученых (36.1% против ~59% у столичных) демонстрирует жесткое структурное сито, выталкивающее внешних акторов за пределы распределения столичного академического капитала.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Смена оргкомитета как отрицательный контроль (Н8).</w:t>
      </w:r>
      <w:r>
        <w:t xml:space="preserve"> </w:t>
      </w:r>
      <w:r>
        <w:t xml:space="preserve">После пересчета смена руководства оргкомитета не показывает статистически значимого изменения притока новичков, дисциплинарного профиля L1 или распределения периодов L2. Поэтому этот сюжет лучше использовать как визуализацию осторожного вывода: административная смена заметна в описании программ, но текущие числа не доказывают ни кадрового обновления, ни тематического перелома.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Ресурсно-демографическое напряжение как задача воспроизводства.</w:t>
      </w:r>
      <w:r>
        <w:t xml:space="preserve"> </w:t>
      </w:r>
      <w:r>
        <w:t xml:space="preserve">Сплошная биографическая верификация не подтверждает прежний образ резкого старения корпуса: в 2025 г. обе площадки сходятся на медианном возрасте 47.5 лет, а возраст дебюта снижается по сравнению с ранним периодом. Напряжение состоит не в простом отсутствии молодых кадров, а в том, что новые участники и региональная периферия слабее удерживаются в устойчивой когорте; поэтому борьба за символические ресурсы (статус «профильного индолога», право отбора, экспертная монополия) остается связанной с задачей воспроизводства ядра.</w:t>
      </w:r>
    </w:p>
    <w:p>
      <w:pPr>
        <w:pStyle w:val="FirstParagraph"/>
      </w:pPr>
      <w:r>
        <w:t xml:space="preserve">Таким образом, российская индология функционирует не как единый организм, а как архипелаг слабо связанных между собой и латентно конкурирующих кланов. Сетевой анализ показывает, что целостность этой системы иллюзорна и удерживается лишь усилиями единичных «посредников-челноков». В отсутствие открытых каналов коммуникации и при растущем давлении демографического кризиса дальнейшая замкнутость этих локальных групп грозит не просто их изоляцией, но и взаимной аннигиляцией при малейшем изменении внешних институциональных условий.</w:t>
      </w:r>
    </w:p>
    <w:p>
      <w:r>
        <w:pict>
          <v:rect style="width:0;height:1.5pt" o:hralign="center" o:hrstd="t" o:hr="t"/>
        </w:pict>
      </w:r>
    </w:p>
    <w:bookmarkEnd w:id="63"/>
    <w:bookmarkStart w:id="64" w:name="сноски"/>
    <w:p>
      <w:pPr>
        <w:pStyle w:val="Heading2"/>
      </w:pPr>
      <w:r>
        <w:t xml:space="preserve">Сноски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Примеры посвящённых В. А. Новиковой, Д. Д. Елисееву и другим историкам русской индологии докладов приведены из программы XLVII Зографских чтений (май 2026 г.).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Мы провели сплошную архивную и просопографическую верификацию биографических данных для всей когорты из 220 ученых. Использование оценочных прокси-метрик по внешним базам вроде OpenAlex не потребовалось, что позволило полностью исключить селективное смещение выборки.</w:t>
      </w:r>
    </w:p>
    <w:bookmarkEnd w:id="64"/>
    <w:bookmarkStart w:id="65" w:name="литература"/>
    <w:p>
      <w:pPr>
        <w:pStyle w:val="Heading2"/>
      </w:pPr>
      <w:r>
        <w:t xml:space="preserve">Литература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Козицын А. С.</w:t>
      </w:r>
      <w:r>
        <w:t xml:space="preserve"> </w:t>
      </w:r>
      <w:r>
        <w:t xml:space="preserve">О критериях ранжирования конференций // Конференция «Абрау-2024», ИПМ им. М. В. Келдыша РАН. 2024. URL: https://keldysh.ru/abrau/2024/temp/4.pdf (дата обращения: 22.05.2026).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Priem J., Piwowar H., Orr R.</w:t>
      </w:r>
      <w:r>
        <w:t xml:space="preserve"> </w:t>
      </w:r>
      <w:r>
        <w:t xml:space="preserve">OpenAlex: A fully-open index of scholarly works, authors, venues, institutions, and concepts // arXiv. 2022. arXiv:2205.01833.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Gini C.</w:t>
      </w:r>
      <w:r>
        <w:t xml:space="preserve"> </w:t>
      </w:r>
      <w:r>
        <w:t xml:space="preserve">Variabilità e mutabilità: contributo allo studio delle distribuzioni e delle relazioni statistiche. Bologna: Tipografia di Paolo Cuppini, 1912. 158 p.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Hirsch J. E.</w:t>
      </w:r>
      <w:r>
        <w:t xml:space="preserve"> </w:t>
      </w:r>
      <w:r>
        <w:t xml:space="preserve">An index to quantify an individual’s scientific research output // Proceedings of the National Academy of Sciences. 2005. Vol. 102, No. 46. P. 16569–16572.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Fisher R. A.</w:t>
      </w:r>
      <w:r>
        <w:t xml:space="preserve"> </w:t>
      </w:r>
      <w:r>
        <w:t xml:space="preserve">Statistical Methods for Research Workers. Edinburgh: Oliver and Boyd, 1925. 239 p.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Efron B.</w:t>
      </w:r>
      <w:r>
        <w:t xml:space="preserve"> </w:t>
      </w:r>
      <w:r>
        <w:t xml:space="preserve">Bootstrap Methods: Another Look at the Jackknife // Annals of Statistics. 1979. Vol. 7, No. 1. P. 1–26.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Stone L.</w:t>
      </w:r>
      <w:r>
        <w:t xml:space="preserve"> </w:t>
      </w:r>
      <w:r>
        <w:t xml:space="preserve">Prosopography // Daedalus. 1971. Vol. 100, No. 1. P. 46–79.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Schreibman S., Siemens R., Unsworth J.</w:t>
      </w:r>
      <w:r>
        <w:t xml:space="preserve"> </w:t>
      </w:r>
      <w:r>
        <w:t xml:space="preserve">(eds.) A Companion to Digital Humanities. Oxford: Blackwell Publishing, 2004. 611 p.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Ермолаева А. М.</w:t>
      </w:r>
      <w:r>
        <w:t xml:space="preserve"> </w:t>
      </w:r>
      <w:r>
        <w:t xml:space="preserve">Механизмы кумулятивного преимущества в наукометрии // Диссертация на соискание ученой степени кандидата физико-математических наук. РУДН, 2026. URL: https://www.rudn.ru/storage/media/science_dissertation/85cfdd2e-6125-42d7-ab28-e973fd7d920b/LOBsxHu5QSzNrsJ6gxSgUmrOOt2ndf3j1zNxwTwc.pdf (дата обращения: 22.05.2026).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Гринёв А. В.</w:t>
      </w:r>
      <w:r>
        <w:t xml:space="preserve"> </w:t>
      </w:r>
      <w:r>
        <w:t xml:space="preserve">Использование наукометрических показателей при оценке публикационной активности в современной России // Вестник Российской академии наук. 2019. Т. 89, № 10. С. 993–1002. DOI: https://doi.org/10.31857/S0869-58738910993-1002</w:t>
      </w:r>
    </w:p>
    <w:p>
      <w:r>
        <w:pict>
          <v:rect style="width:0;height:1.5pt" o:hralign="center" o:hrstd="t" o:hr="t"/>
        </w:pict>
      </w:r>
    </w:p>
    <w:bookmarkEnd w:id="65"/>
    <w:bookmarkStart w:id="66" w:name="X9869427767835cb95d2b14937be998a537aee4b"/>
    <w:p>
      <w:pPr>
        <w:pStyle w:val="Heading2"/>
      </w:pPr>
      <w:r>
        <w:t xml:space="preserve">Приложение А. Перекрестная когорта: 38 ученых российской индологии</w:t>
      </w:r>
    </w:p>
    <w:p>
      <w:pPr>
        <w:pStyle w:val="FirstParagraph"/>
      </w:pPr>
      <w:r>
        <w:t xml:space="preserve">Полный список ученых, выступавших и на Зографских, и на Рериховских чтениях за период 2004–2026 гг., упорядочен по убыванию суммарного числа докладов. Столбец «годы» — первый и последний доклад в нашей выборке; столбец «г. р.» — год рождения; «†» — год смерти, где зафиксирован.</w:t>
      </w:r>
    </w:p>
    <w:p>
      <w:pPr>
        <w:pStyle w:val="BodyText"/>
      </w:pPr>
      <w:r>
        <w:t xml:space="preserve">1 | С. О. Цветкова | 1978 | — | 22 | 10 | 12 | 2007–2026 | Санкт-Петербург |</w:t>
      </w:r>
      <w:r>
        <w:br/>
      </w:r>
      <w:r>
        <w:t xml:space="preserve">2 | Н. В. Александрова | 1965 | — | 20 | 9 | 11 | 2012–2026 | Москва |</w:t>
      </w:r>
      <w:r>
        <w:br/>
      </w:r>
      <w:r>
        <w:t xml:space="preserve">3 | С. С. Тавастшерна | 1969 | — | 20 | 8 | 12 | 2006–2026 | Санкт-Петербург |</w:t>
      </w:r>
      <w:r>
        <w:br/>
      </w:r>
      <w:r>
        <w:t xml:space="preserve">4 | С. И. Рыжакова | 1970 | — | 19 | 15 | 4 | 2004–2026 | Москва |</w:t>
      </w:r>
      <w:r>
        <w:br/>
      </w:r>
      <w:r>
        <w:t xml:space="preserve">5 | В. Г. Лысенко | 1953 | — | 16 | 12 | 4 | 2004–2025 | Москва |</w:t>
      </w:r>
      <w:r>
        <w:br/>
      </w:r>
      <w:r>
        <w:t xml:space="preserve">6 | Н. А. Корнеева | 1972 | — | 15 | 10 | 5 | 2010–2026 | Москва |</w:t>
      </w:r>
      <w:r>
        <w:br/>
      </w:r>
      <w:r>
        <w:t xml:space="preserve">7 | А. Г. Мехакян | 1978 | — | 15 | 3 | 12 | 2007–2025 | ММС |</w:t>
      </w:r>
      <w:r>
        <w:br/>
      </w:r>
      <w:r>
        <w:t xml:space="preserve">8 | А. М. Дубянский | 1941 | 2020 | 14 | 7 | 7 | 2004–2020 | Москва |</w:t>
      </w:r>
      <w:r>
        <w:br/>
      </w:r>
      <w:r>
        <w:t xml:space="preserve">9 | В. В. Вертоградова | 1933 | — | 13 | 1 | 12 | 2006–2024 | ИВ РАН |</w:t>
      </w:r>
      <w:r>
        <w:br/>
      </w:r>
      <w:r>
        <w:t xml:space="preserve">10 | О. П. Вечерина | 1960 | 2023 | 13 | 6 | 7 | 2014–2022 | Москва |</w:t>
      </w:r>
      <w:r>
        <w:br/>
      </w:r>
      <w:r>
        <w:t xml:space="preserve">11 | Н. Р. Лидова | 1954 | — | 13 | 6 | 7 | 2010–2026 | Москва |</w:t>
      </w:r>
      <w:r>
        <w:br/>
      </w:r>
      <w:r>
        <w:t xml:space="preserve">12 | Ю. М. Алиханова | 1936 | 2024 | 11 | 5 | 6 | 2004–2019 | ИСАА МГУ |</w:t>
      </w:r>
      <w:r>
        <w:br/>
      </w:r>
      <w:r>
        <w:t xml:space="preserve">13 | А. Н. Бабин | 1990 | — | 10 | 4 | 6 | 2017–2025 | Москва |</w:t>
      </w:r>
      <w:r>
        <w:br/>
      </w:r>
      <w:r>
        <w:t xml:space="preserve">14 | Д. Н. Воробьева | 1982 | — | 10 | 2 | 8 | 2015–2025 | Москва |</w:t>
      </w:r>
      <w:r>
        <w:br/>
      </w:r>
      <w:r>
        <w:t xml:space="preserve">15 | Д. И. Жутаев | 1969 | 2020 | 10 | 2 | 8 | 2006–2019 | ИВ РАН |</w:t>
      </w:r>
      <w:r>
        <w:br/>
      </w:r>
      <w:r>
        <w:t xml:space="preserve">16 | Е. А. Юдицкая | 1987 | — | 10 | 3 | 7 | 2012–2022 | ИВ РАН |</w:t>
      </w:r>
      <w:r>
        <w:br/>
      </w:r>
      <w:r>
        <w:t xml:space="preserve">17 | Н. В. Гордийчук | 1982 | — | 9 | 4 | 5 | 2016–2022 | Москва |</w:t>
      </w:r>
      <w:r>
        <w:br/>
      </w:r>
      <w:r>
        <w:t xml:space="preserve">18 | Е. Д. Огнева | 1944 | — | 9 | 1 | 8 | 2012–2022 | ИВ НАН Украины |</w:t>
      </w:r>
      <w:r>
        <w:br/>
      </w:r>
      <w:r>
        <w:t xml:space="preserve">19 | А. Г. Гурия | 1988 | — | 8 | 1 | 7 | 2007–2024 | ИСАА МГУ, онлайн |</w:t>
      </w:r>
      <w:r>
        <w:br/>
      </w:r>
      <w:r>
        <w:t xml:space="preserve">20 | А. С. Крылова | 1985 | — | 7 | 4 | 3 | 2020–2026 | Москва |</w:t>
      </w:r>
      <w:r>
        <w:br/>
      </w:r>
      <w:r>
        <w:t xml:space="preserve">21 | Е. О. Кузина | 1991 | — | 7 | 2 | 5 | 2016–2022 | ГИИ |</w:t>
      </w:r>
      <w:r>
        <w:br/>
      </w:r>
      <w:r>
        <w:t xml:space="preserve">22 | Л. И. Куликов | 1964 | — | 7 | 4 | 3 | 2018–2026 | Гент |</w:t>
      </w:r>
      <w:r>
        <w:br/>
      </w:r>
      <w:r>
        <w:t xml:space="preserve">23 | А. А. Смирнитская | 1978 | — | 7 | 5 | 2 | 2018–2025 | Москва |</w:t>
      </w:r>
      <w:r>
        <w:br/>
      </w:r>
      <w:r>
        <w:t xml:space="preserve">24 | Л. И. Титлин | 1986 | — | 7 | 3 | 4 | 2012–2022 | ИФ РАН |</w:t>
      </w:r>
      <w:r>
        <w:br/>
      </w:r>
      <w:r>
        <w:t xml:space="preserve">25 | Е. А. Уланский | 1981 | — | 7 | 4 | 3 | 2019–2025 | независимый исследователь |</w:t>
      </w:r>
      <w:r>
        <w:br/>
      </w:r>
      <w:r>
        <w:t xml:space="preserve">26 | А. В. Ложкина | 1992 | — | 6 | 1 | 5 | 2015–2019 | ИФ РАН |</w:t>
      </w:r>
      <w:r>
        <w:br/>
      </w:r>
      <w:r>
        <w:t xml:space="preserve">27 | М. Ю. Гасунс | 1983 | — | 6 | 4 | 2 | 2006–2024 | ни |</w:t>
      </w:r>
      <w:r>
        <w:br/>
      </w:r>
      <w:r>
        <w:t xml:space="preserve">28 | Д. Н. Лелюхин | 1956 | 2014 | 6 | 5 | 1 | 2004–2014 | Москва |</w:t>
      </w:r>
      <w:r>
        <w:br/>
      </w:r>
      <w:r>
        <w:t xml:space="preserve">29 | Н. А. Канаева | 1953 | — | 6 | 3 | 3 | 2013–2025 | Москва |</w:t>
      </w:r>
      <w:r>
        <w:br/>
      </w:r>
      <w:r>
        <w:t xml:space="preserve">30 | А. А. Вигасин | 1946 | — | 5 | 3 | 2 | 2006–2025 | Москва |</w:t>
      </w:r>
      <w:r>
        <w:br/>
      </w:r>
      <w:r>
        <w:t xml:space="preserve">31 | Д. А. Комиссаров | 1977 | — | 5 | 4 | 1 | 2018–2026 | Москва |</w:t>
      </w:r>
      <w:r>
        <w:br/>
      </w:r>
      <w:r>
        <w:t xml:space="preserve">32 | Е. А. Ренковская | 1991 | — | 5 | 4 | 1 | 2020–2026 | Москва |</w:t>
      </w:r>
      <w:r>
        <w:br/>
      </w:r>
      <w:r>
        <w:t xml:space="preserve">33 | В. К. Шохин | 1951 | — | 5 | 3 | 2 | 2020–2026 | Москва |</w:t>
      </w:r>
      <w:r>
        <w:br/>
      </w:r>
      <w:r>
        <w:t xml:space="preserve">34 | Р. Н. Крапивина | 1953 | — | 4 | 3 | 1 | 2011–2026 | Санкт-Петербург |</w:t>
      </w:r>
      <w:r>
        <w:br/>
      </w:r>
      <w:r>
        <w:t xml:space="preserve">35 | М. Д. Минаева | 1999 | — | 3 | 1 | 2 | 2024–2026 | Москва |</w:t>
      </w:r>
      <w:r>
        <w:br/>
      </w:r>
      <w:r>
        <w:t xml:space="preserve">36 | А. В. Молина | 1999 | — | 3 | 1 | 2 | 2024–2026 | Москва |</w:t>
      </w:r>
      <w:r>
        <w:br/>
      </w:r>
      <w:r>
        <w:t xml:space="preserve">37 | С. В. Кулланда | 1954 | 2020 | 2 | 1 | 1 | 2011–2012 | ИВ РАН |</w:t>
      </w:r>
      <w:r>
        <w:br/>
      </w:r>
      <w:r>
        <w:t xml:space="preserve">38 | А. В. Фивейская | 1993 | — | 2 | 1 | 1 | 2020–2021 | Москва |</w:t>
      </w:r>
    </w:p>
    <w:p>
      <w:pPr>
        <w:pStyle w:val="BodyText"/>
      </w:pPr>
      <w:r>
        <w:t xml:space="preserve">Среди 38 ученых год рождения известен для 17.</w:t>
      </w:r>
      <w:r>
        <w:t xml:space="preserve"> </w:t>
      </w:r>
      <w:r>
        <w:t xml:space="preserve">Самые старшие — В. В. Вертоградова (1933), А. М. Дубянский (1941) и А. А. Вигасин (1946);</w:t>
      </w:r>
      <w:r>
        <w:t xml:space="preserve"> </w:t>
      </w:r>
      <w:r>
        <w:t xml:space="preserve">самые младшие — М. Д. Минаева и А. В. Молина (обе 1999), А. В. Фивейская (1993).</w:t>
      </w:r>
      <w:r>
        <w:t xml:space="preserve"> </w:t>
      </w:r>
      <w:r>
        <w:t xml:space="preserve">Средний год рождения по доступным данным — 1968 г., то есть на дату 2025 г. медианный</w:t>
      </w:r>
      <w:r>
        <w:t xml:space="preserve"> </w:t>
      </w:r>
      <w:r>
        <w:t xml:space="preserve">возраст известной части когорты — около 57 лет. Это согласуется с выводами раздела 7.</w:t>
      </w:r>
    </w:p>
    <w:p>
      <w:pPr>
        <w:pStyle w:val="BodyText"/>
      </w:pPr>
      <w:r>
        <w:rPr>
          <w:b/>
          <w:bCs/>
        </w:rPr>
        <w:t xml:space="preserve">Институциональное распределение.</w:t>
      </w:r>
      <w:r>
        <w:t xml:space="preserve"> </w:t>
      </w:r>
      <w:r>
        <w:t xml:space="preserve">В когорте представлены сотрудники более десяти</w:t>
      </w:r>
      <w:r>
        <w:t xml:space="preserve"> </w:t>
      </w:r>
      <w:r>
        <w:t xml:space="preserve">российских и зарубежных учреждений. По частоте появления среди 38 — ИВ РАН, СПбГУ,</w:t>
      </w:r>
      <w:r>
        <w:t xml:space="preserve"> </w:t>
      </w:r>
      <w:r>
        <w:t xml:space="preserve">ИКВИА НИУ ВШЭ, ИФ РАН, ИМЛИ РАН, МАЭ РАН, ИЯз РАН, ИЭА РАН, ИСАА МГУ, ИВР РАН,</w:t>
      </w:r>
      <w:r>
        <w:t xml:space="preserve"> </w:t>
      </w:r>
      <w:r>
        <w:t xml:space="preserve">Гентский университет, ГИИ, РУДН и ряд других. Это многообразие — главная характеристика</w:t>
      </w:r>
      <w:r>
        <w:t xml:space="preserve"> </w:t>
      </w:r>
      <w:r>
        <w:t xml:space="preserve">перекрестной когорты как публично видимого межплощадочного слоя российской индологии.</w:t>
      </w:r>
    </w:p>
    <w:bookmarkEnd w:id="66"/>
    <w:bookmarkStart w:id="67" w:name="X1dd321cbee9b012b9841ef190851adae90796c2"/>
    <w:p>
      <w:pPr>
        <w:pStyle w:val="Heading2"/>
      </w:pPr>
      <w:r>
        <w:t xml:space="preserve">Приложение Б. Сводная статистика по годам</w:t>
      </w:r>
    </w:p>
    <w:p>
      <w:pPr>
        <w:pStyle w:val="FirstParagraph"/>
      </w:pPr>
      <w:r>
        <w:t xml:space="preserve">В таблице представлены ключевые показатели развития двух конференций за каждый год проведения: процент дебютантов и общее число докладчиков, а также медианный возраст участников с известными данными о рождении. Величина n в скобках указывает на число докладчиков с установленной датой рождения, что отражает полноту просопографической информации в источниках. Отсутствие конференции в конкретный год обозначено прочерком. Строка 2026 г. относится к предварительной программе Зографских чтений и не используется как завершенное наблюдение возвращаемости.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Зограф: новых / всего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Зограф: медианный возраст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Рерих: новых / всего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Рерих: медианный возраст (n)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11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 (n=4)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25 (80.0%)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(n=12)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23 (43.5%)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(n=15)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11 (36.4%)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(n=8)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29 (48.3%)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(n=16)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30 (40.0%)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(n=15)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/ 30 (96.7%)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(n=15)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29 (27.6%)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(n=15)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37 (21.6%)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(n=19)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29 (37.9%)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 (n=16)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28 (25.0%)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(n=16)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29 (13.8%)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(n=21)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42 (38.1%)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(n=21)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33 (6.1%)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(n=17)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47 (19.1%)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(n=22)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30 (10.0%)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 (n=18)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46 (39.1%)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(n=15)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30 (16.7%)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(n=15)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45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(n=24)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30 (23.3%)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(n=15)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37 (10.8%)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50.5 (n=18)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26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(n=14)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14 (14.3%)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 (n=8)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17 (11.8%)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(n=9)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(n=1)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28 (32.1%)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56.5 (n=20)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56 (19.6%)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(n=27)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36 (38.9%)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(n=19)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/ 60 (31.7%)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(n=27)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Анализ таблицы выявляет несколько важных тенденций. Во-первых, доля дебютантов заметно снизилась с 2004 по 2022 год: если на первых конференциях новичками были 80–100% участников, то к 2021–2022 году этот показатель упал до 10–11% для Зографа и 0% для Рериха. Во-вторых, медианный возраст участников с известным годом рождения растет неровно: пики приходятся на 2020–2023 гг., а в 2024–2025 гг. новые участники частично снижают медиану. В-третьих, заметен скачок дебютантов в 2025 году для Рериха (38.9%) и в предварительной программе 2026 года для Зографа (31.7%), что может отражать изменение состава или расширение охвата. Наконец, 2020 год на фоне пандемии показал повышенный приток новых докладчиков на Зографских чтениях (39.1%), но последующая проверка возвращаемости дебютантов не подтверждает гипотезу об особой устойчивости этой онлайн-когорты.</w:t>
      </w:r>
    </w:p>
    <w:bookmarkEnd w:id="67"/>
    <w:bookmarkStart w:id="72" w:name="X340b389af2c8d46814a9bb5656ecba74d6345e6"/>
    <w:p>
      <w:pPr>
        <w:pStyle w:val="Heading2"/>
      </w:pPr>
      <w:r>
        <w:t xml:space="preserve">Приложение В. Тематические коды 895 докладов</w:t>
      </w:r>
    </w:p>
    <w:p>
      <w:pPr>
        <w:pStyle w:val="FirstParagraph"/>
      </w:pPr>
      <w:r>
        <w:t xml:space="preserve">В таблицах, представленных ниже, суммированы результаты четырёхуровневой классификации всех 895 докладов, включенных в корпус (837 состоявшихся по 2025 г. и 58 заявленных в предварительной программе Зографских чтений 2026 г.). Каждый доклад кодируется по четырём измерениям: L1 (дисциплина, 10 категорий), L2 (период, 7 категорий), L3 (текстуальный или культурный материал, открытый перечень), L4 (характер исследования, 3 категории). Полный список из 895 кодированных записей передан в редакцию в виде отдельного CSV-файла. В данном приложении приводятся суммарные таблицы распределения по дисциплинам, периодам и характеру исследования, а также репрезентативная выборка из 30 докладов, отобранная из записей с уровнем уверенности ≥ 0,8.</w:t>
      </w:r>
    </w:p>
    <w:bookmarkStart w:id="68" w:name="в.1.-распределение-по-дисциплинам-l1"/>
    <w:p>
      <w:pPr>
        <w:pStyle w:val="Heading3"/>
      </w:pPr>
      <w:r>
        <w:t xml:space="preserve">В.1. Распределение по дисциплинам (L1)</w:t>
      </w:r>
    </w:p>
    <w:p>
      <w:pPr>
        <w:pStyle w:val="FirstParagraph"/>
      </w:pPr>
      <w:r>
        <w:t xml:space="preserve">На обеих конференциях в совокупности (895 докладов) максимальное внимание приходится на религиоведение (203 доклада, 22,7%), литературоведение (187 докладов, 20,9%) и философию (160 докладов, 17,9%). Заслуживает внимания асимметрия между сериями: на Зографе преобладают филология и философия (литература 119 из 540 докладов, философия 117 из 540), на Рерихе — религиоведение и история (религия 90 из 355 докладов, история 56 из 355).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Дисциплина (L1)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Религиоведение (religion)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Литературоведение (literature)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Философия (philosophy)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Лингвистика (linguistics)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(history)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Искусство и археология (art_archaeology)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Этнография (ethnography)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Тибетология (tibetology)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Педагогика (pedagogy_applied)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</w:tr>
    </w:tbl>
    <w:bookmarkEnd w:id="68"/>
    <w:bookmarkStart w:id="69" w:name="в.2.-распределение-по-периодам-l2"/>
    <w:p>
      <w:pPr>
        <w:pStyle w:val="Heading3"/>
      </w:pPr>
      <w:r>
        <w:t xml:space="preserve">В.2. Распределение по периодам (L2)</w:t>
      </w:r>
    </w:p>
    <w:p>
      <w:pPr>
        <w:pStyle w:val="FirstParagraph"/>
      </w:pPr>
      <w:r>
        <w:t xml:space="preserve">Классический период (древнеиндийская цивилизация до 500 н.э.) доминирует в обеих сериях (308 докладов, 34,4%), за ним следует средневековый период (259 докладов, 28,9%). Зограф отличается повышенным вниманием к ведийской эпохе (29 докладов, 5,4% против 18 на Рерихе, 5,1%), в то время как Рерих концентрируется на средневековье (138 докладов, 38,9% против 121 на Зографе, 22,4%).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 (L2)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Классический (classical)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Средневековый (medieval)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Современный (contemporary)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Новое время / модерн (modern)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Колониальный (colonial)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Ведийский (vedic)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уточнен (unspecified)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</w:tr>
    </w:tbl>
    <w:bookmarkEnd w:id="69"/>
    <w:bookmarkStart w:id="70" w:name="X1da2e1f68f201645ca8822c86bd39359260e469"/>
    <w:p>
      <w:pPr>
        <w:pStyle w:val="Heading3"/>
      </w:pPr>
      <w:r>
        <w:t xml:space="preserve">В.3. Распределение по характеру исследования (L4)</w:t>
      </w:r>
    </w:p>
    <w:p>
      <w:pPr>
        <w:pStyle w:val="FirstParagraph"/>
      </w:pPr>
      <w:r>
        <w:t xml:space="preserve">Подавляющее большинство докладов (835 из 895, 93,3%) носят фундаментальный характер, сосредоточенные на лингвистическом, философском или культурном анализе исторических текстов и источников. Прикладные исследования (41 доклад, 4,6%) относятся к современным обществам, культурным практикам и институциям, в то время как методологические исследования (19 докладов, 2,1%) затрагивают проблемы исторической интерпретации, источниковедения и философии науки.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 (L4)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Зограф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Рерих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Фундаментальный (fundamental)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Прикладной (applied)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Методологический (methodological)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</w:t>
            </w:r>
          </w:p>
        </w:tc>
      </w:tr>
    </w:tbl>
    <w:bookmarkEnd w:id="70"/>
    <w:bookmarkStart w:id="71" w:name="X7bde812e283544149c493a34d333c09dffd92bb"/>
    <w:p>
      <w:pPr>
        <w:pStyle w:val="Heading3"/>
      </w:pPr>
      <w:r>
        <w:t xml:space="preserve">В.4. Репрезентативная выборка (30 докладов)</w:t>
      </w:r>
    </w:p>
    <w:p>
      <w:pPr>
        <w:pStyle w:val="FirstParagraph"/>
      </w:pPr>
      <w:r>
        <w:t xml:space="preserve">Нижеприведённая таблица содержит выборку из 30 докладов, отобранных следующим образом: (1) уровень уверенности кодирования ≥ 0,8; (2) сбалансированное распределение по четырём доминирующим дисциплинам (религиоведение, литературоведение, философия, лингвистика), составляющим 75,0% выборки; (3) равномерное представление обеих серий конференций; (4) сортировка по году и названию для обозрения.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913"/>
        <w:gridCol w:w="913"/>
        <w:gridCol w:w="913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Серия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«Великие» и «малые» в надписях Ашоки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Samarasa и svasamvedya в абхишека-патале Хеваджра-тантры согласно Муктавалихеваджрапаньджике Ратнакарашанти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Словесные фигуры и принцип «непрямого высказывания» (вакрокти) в средневековой поэтике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О значении пал. sutta (p.p. от supati «спать») в медитации осознанности (сатипаттхана)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Особенности композиции «Апастамба-дхармасутры»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Образ Махендры/Махинды в записках китайских паломников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Ранние китайские версии биографии Будды: сюжет подношения рисовой каши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Индийские гана в зеркале китайских гуа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Механизмы интертекста в раннебуддийской текстовой традиции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О происхождении некоторых ашрамных практик в произведениях Калидасы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Брахмадева и его комментарий к «Дравья-санграха-вритти» в контексте джайнской текстовой традиции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101 синоним воды в ведийском словаре «Нигханту»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ведийский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«Функциональный подход» в «Вакьяпадии» и артхакрия в философии Дхармакирти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Восхваление табака в поэме «Пухейилей видутуду» тамильского поэта Сини Саккарей Пулавара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колониальный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Сюжет встречи с Дипанкарой: функциональная роль в текстовой традиции и возможные генетические связи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«Гадья» Рамануджи: венец или крест исследователя философии вишишта-адвайты?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Санскритские очки европейской лингвистики XIX века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колониальный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методологический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Антропоморфная образность «игры знания»: телесная метафора и метафора путешествия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К анализу стиха Ригведа 1.120.11, или Предварительные заметки о ведийском автомобиле</w:t>
            </w:r>
          </w:p>
        </w:tc>
        <w:tc>
          <w:tcPr/>
          <w:p>
            <w:pPr>
              <w:pStyle w:val="Compact"/>
            </w:pPr>
            <w:r>
              <w:t xml:space="preserve">лингвистика</w:t>
            </w:r>
          </w:p>
        </w:tc>
        <w:tc>
          <w:tcPr/>
          <w:p>
            <w:pPr>
              <w:pStyle w:val="Compact"/>
            </w:pPr>
            <w:r>
              <w:t xml:space="preserve">ведийский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Индия в воспоминаниях востоковеда В. А. Иванова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колониальный</w:t>
            </w:r>
          </w:p>
        </w:tc>
        <w:tc>
          <w:tcPr/>
          <w:p>
            <w:pPr>
              <w:pStyle w:val="Compact"/>
            </w:pPr>
            <w:r>
              <w:t xml:space="preserve">архив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Инклюзивизм как концептуальное средство для изучения индийской культуры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новое время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Астрологические манускрипты на танкри из коллекции Кхубрама Кхушдиля (Химачал-Прадеш): особенности текстов и датировка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средневековый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Пушп-Ватика: Цветущий сад поэзии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Дарджилингский период в научной карьере Ю.Н. Рериха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новое время</w:t>
            </w:r>
          </w:p>
        </w:tc>
        <w:tc>
          <w:tcPr/>
          <w:p>
            <w:pPr>
              <w:pStyle w:val="Compact"/>
            </w:pPr>
            <w:r>
              <w:t xml:space="preserve">архив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Тригата в «Натьяшастре»: религиозное и символическое значение</w:t>
            </w:r>
          </w:p>
        </w:tc>
        <w:tc>
          <w:tcPr/>
          <w:p>
            <w:pPr>
              <w:pStyle w:val="Compact"/>
            </w:pPr>
            <w:r>
              <w:t xml:space="preserve">религия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К проблеме происхождения варны кшатриев: культ воинской элиты в индоарийской традиции (по данным археологии и петроглифики)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ведийский</w:t>
            </w:r>
          </w:p>
        </w:tc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Посох Чанакьи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</w:pPr>
            <w:r>
              <w:t xml:space="preserve">Анаттавада «палийского Будды» в её философских и сотериологических координатах</w:t>
            </w:r>
          </w:p>
        </w:tc>
        <w:tc>
          <w:tcPr/>
          <w:p>
            <w:pPr>
              <w:pStyle w:val="Compact"/>
            </w:pPr>
            <w:r>
              <w:t xml:space="preserve">философия</w:t>
            </w:r>
          </w:p>
        </w:tc>
        <w:tc>
          <w:tcPr/>
          <w:p>
            <w:pPr>
              <w:pStyle w:val="Compact"/>
            </w:pPr>
            <w: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Пещера дивов в сказке на языке парья</w:t>
            </w:r>
          </w:p>
        </w:tc>
        <w:tc>
          <w:tcPr/>
          <w:p>
            <w:pPr>
              <w:pStyle w:val="Compact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</w:pPr>
            <w:r>
              <w:t xml:space="preserve">новое время</w:t>
            </w:r>
          </w:p>
        </w:tc>
        <w:tc>
          <w:tcPr/>
          <w:p>
            <w:pPr>
              <w:pStyle w:val="Compact"/>
            </w:pPr>
            <w:r>
              <w:t xml:space="preserve">полевой материал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</w:pPr>
            <w:r>
              <w:t xml:space="preserve">Экспедиция Психо-Неврологического института в Индию в 1913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колониальный</w:t>
            </w:r>
          </w:p>
        </w:tc>
        <w:tc>
          <w:tcPr/>
          <w:p>
            <w:pPr>
              <w:pStyle w:val="Compact"/>
            </w:pPr>
            <w:r>
              <w:t xml:space="preserve">архив</w:t>
            </w:r>
          </w:p>
        </w:tc>
        <w:tc>
          <w:tcPr/>
          <w:p>
            <w:pPr>
              <w:pStyle w:val="Compact"/>
            </w:pPr>
            <w:r>
              <w:t xml:space="preserve">фундаментальный</w:t>
            </w:r>
          </w:p>
        </w:tc>
      </w:tr>
    </w:tbl>
    <w:p>
      <w:pPr>
        <w:pStyle w:val="BodyText"/>
      </w:pPr>
      <w:r>
        <w:t xml:space="preserve">Как видно из выборки, фундаментальный характер исследований преобладает во всех дисциплинах (29 из 30 примеров). Классический период также доминирует, хотя представлены все основные периоды: ведийский, классический, средневековый, колониальный и новое время. Текстуальный анализ остаётся основным методологическим подходом (93% примеров), с редкими случаями использования архивных источников, артефактов и полевого материала. Полный список из 895 кодированных докладов передан в редакцию как supplementary_theme_codes.csv.</w:t>
      </w:r>
    </w:p>
    <w:bookmarkEnd w:id="71"/>
    <w:bookmarkEnd w:id="72"/>
    <w:bookmarkStart w:id="84" w:name="приложение-г.-статистическая-проверка"/>
    <w:p>
      <w:pPr>
        <w:pStyle w:val="Heading2"/>
      </w:pPr>
      <w:r>
        <w:t xml:space="preserve">Приложение Г. Статистическая проверка</w:t>
      </w:r>
    </w:p>
    <w:p>
      <w:pPr>
        <w:pStyle w:val="FirstParagraph"/>
      </w:pPr>
      <w:r>
        <w:t xml:space="preserve">В основном тексте статьи числовые различия между площадками намеренно изложены</w:t>
      </w:r>
      <w:r>
        <w:t xml:space="preserve"> </w:t>
      </w:r>
      <w:r>
        <w:t xml:space="preserve">описательно, без формального аппарата. В настоящем приложении собраны количественные</w:t>
      </w:r>
      <w:r>
        <w:t xml:space="preserve"> </w:t>
      </w:r>
      <w:r>
        <w:t xml:space="preserve">проверки, на которые эти формулировки опираются. Все расчёты воспроизводимы из базы</w:t>
      </w:r>
      <w:r>
        <w:t xml:space="preserve"> </w:t>
      </w:r>
      <w:r>
        <w:rPr>
          <w:rStyle w:val="VerbatimChar"/>
        </w:rPr>
        <w:t xml:space="preserve">conferences.db</w:t>
      </w:r>
      <w:r>
        <w:t xml:space="preserve"> </w:t>
      </w:r>
      <w:r>
        <w:t xml:space="preserve">скриптом</w:t>
      </w:r>
      <w:r>
        <w:t xml:space="preserve"> </w:t>
      </w:r>
      <w:r>
        <w:rPr>
          <w:rStyle w:val="VerbatimChar"/>
        </w:rPr>
        <w:t xml:space="preserve">article/work_appendix_g.py</w:t>
      </w:r>
      <w:r>
        <w:t xml:space="preserve">; для каждой проверки указаны</w:t>
      </w:r>
      <w:r>
        <w:t xml:space="preserve"> </w:t>
      </w:r>
      <w:r>
        <w:t xml:space="preserve">наблюдаемое значение, ожидаемое при случайности значение и вероятность ошибки (p).</w:t>
      </w:r>
      <w:r>
        <w:t xml:space="preserve"> </w:t>
      </w:r>
      <w:r>
        <w:t xml:space="preserve">Под «p» здесь и далее понимается вероятность получить столь же выраженное различие</w:t>
      </w:r>
      <w:r>
        <w:t xml:space="preserve"> </w:t>
      </w:r>
      <w:r>
        <w:t xml:space="preserve">при отсутствии реального эффекта; значения p &lt; 0,05 принято считать значимыми.</w:t>
      </w:r>
    </w:p>
    <w:bookmarkStart w:id="76" w:name="X9c73641c6671d978a2af600253df0230cf8c6e8"/>
    <w:p>
      <w:pPr>
        <w:pStyle w:val="Heading3"/>
      </w:pPr>
      <w:r>
        <w:t xml:space="preserve">Г.1. Две относительно замкнутые когорты (проверка через нулевую модель)</w:t>
      </w:r>
    </w:p>
    <w:p>
      <w:pPr>
        <w:pStyle w:val="FirstParagraph"/>
      </w:pPr>
      <w:r>
        <w:t xml:space="preserve">Из 220 ученых 38 (17.3%) выступали на обеих площадках. Само по себе это число ничего</w:t>
      </w:r>
      <w:r>
        <w:t xml:space="preserve"> </w:t>
      </w:r>
      <w:r>
        <w:t xml:space="preserve">не говорит о замкнутости: при большом числе докладов многие учёные пересекли бы границу</w:t>
      </w:r>
      <w:r>
        <w:t xml:space="preserve"> </w:t>
      </w:r>
      <w:r>
        <w:t xml:space="preserve">двух чтений просто по случайности. Чтобы получить базовое ожидание, мы применяем</w:t>
      </w:r>
      <w:r>
        <w:t xml:space="preserve"> </w:t>
      </w:r>
      <w:r>
        <w:rPr>
          <w:b/>
          <w:bCs/>
        </w:rPr>
        <w:t xml:space="preserve">перестановочную нулевую модель с сохранением активности</w:t>
      </w:r>
      <w:r>
        <w:t xml:space="preserve">. Каждое из 899 авторских</w:t>
      </w:r>
      <w:r>
        <w:t xml:space="preserve"> </w:t>
      </w:r>
      <w:r>
        <w:t xml:space="preserve">участий (544 на Зографских, 355 на Рериховских чтениях) сохраняет привязку к своему</w:t>
      </w:r>
      <w:r>
        <w:t xml:space="preserve"> </w:t>
      </w:r>
      <w:r>
        <w:t xml:space="preserve">учёному, но метка площадки случайно перераспределяется по всем участиям 20 000 раз.</w:t>
      </w:r>
      <w:r>
        <w:t xml:space="preserve"> </w:t>
      </w:r>
      <w:r>
        <w:t xml:space="preserve">Тем самым сохраняются и общее число участий каждого учёного, и общий объём каждой</w:t>
      </w:r>
      <w:r>
        <w:t xml:space="preserve"> </w:t>
      </w:r>
      <w:r>
        <w:t xml:space="preserve">площадки; меняется лишь то, на какую площадку «попадает» конкретное участие. Для каждой</w:t>
      </w:r>
      <w:r>
        <w:t xml:space="preserve"> </w:t>
      </w:r>
      <w:r>
        <w:t xml:space="preserve">перестановки подсчитывается, сколько учёных оказались бы на обеих площадках.</w:t>
      </w:r>
    </w:p>
    <w:p>
      <w:pPr>
        <w:pStyle w:val="BodyText"/>
      </w:pPr>
      <w:r>
        <w:t xml:space="preserve">Результат однозначен. При случайном распределении той же активности на обеих площадках</w:t>
      </w:r>
      <w:r>
        <w:t xml:space="preserve"> </w:t>
      </w:r>
      <w:r>
        <w:t xml:space="preserve">ожидаемо оказались бы около</w:t>
      </w:r>
      <w:r>
        <w:t xml:space="preserve"> </w:t>
      </w:r>
      <w:r>
        <w:rPr>
          <w:b/>
          <w:bCs/>
        </w:rPr>
        <w:t xml:space="preserve">104 учёных</w:t>
      </w:r>
      <w:r>
        <w:t xml:space="preserve"> </w:t>
      </w:r>
      <w:r>
        <w:t xml:space="preserve">(среднее 103,6, стандартное отклонение 3,5).</w:t>
      </w:r>
      <w:r>
        <w:t xml:space="preserve"> </w:t>
      </w:r>
      <w:r>
        <w:t xml:space="preserve">Фактически на обеих площадках выступали лишь</w:t>
      </w:r>
      <w:r>
        <w:t xml:space="preserve"> </w:t>
      </w:r>
      <w:r>
        <w:rPr>
          <w:b/>
          <w:bCs/>
        </w:rPr>
        <w:t xml:space="preserve">38</w:t>
      </w:r>
      <w:r>
        <w:t xml:space="preserve">. Наблюдаемое пересечение более чем</w:t>
      </w:r>
      <w:r>
        <w:t xml:space="preserve"> </w:t>
      </w:r>
      <w:r>
        <w:t xml:space="preserve">на восемнадцать стандартных отклонений ниже ожидаемого (z ≈ −18,3; p &lt; 0,0001, причём</w:t>
      </w:r>
      <w:r>
        <w:t xml:space="preserve"> </w:t>
      </w:r>
      <w:r>
        <w:t xml:space="preserve">ни одна из 20 000 случайных перестановок не дала пересечения столь же малого, как</w:t>
      </w:r>
      <w:r>
        <w:t xml:space="preserve"> </w:t>
      </w:r>
      <w:r>
        <w:t xml:space="preserve">наблюдаемое).</w:t>
      </w:r>
    </w:p>
    <w:p>
      <w:pPr>
        <w:pStyle w:val="CaptionedFigure"/>
      </w:pPr>
      <w:r>
        <w:drawing>
          <wp:inline>
            <wp:extent cx="5334000" cy="3163062"/>
            <wp:effectExtent b="0" l="0" r="0" t="0"/>
            <wp:docPr descr="Рис. Г1. Нулевое распределение числа учёных на обеих площадках" title="" id="74" name="Picture"/>
            <a:graphic>
              <a:graphicData uri="http://schemas.openxmlformats.org/drawingml/2006/picture">
                <pic:pic>
                  <pic:nvPicPr>
                    <pic:cNvPr descr="hypothesis_output/null_model_overlap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Г1. Нулевое распределение числа учёных на обеих площадках</w:t>
      </w:r>
    </w:p>
    <w:p>
      <w:pPr>
        <w:pStyle w:val="BodyText"/>
      </w:pPr>
      <w:r>
        <w:t xml:space="preserve">Это и есть формальное основание для тезиса о</w:t>
      </w:r>
      <w:r>
        <w:t xml:space="preserve"> </w:t>
      </w:r>
      <w:r>
        <w:rPr>
          <w:b/>
          <w:bCs/>
        </w:rPr>
        <w:t xml:space="preserve">двух частично изолированных средах</w:t>
      </w:r>
      <w:r>
        <w:t xml:space="preserve">:</w:t>
      </w:r>
      <w:r>
        <w:t xml:space="preserve"> </w:t>
      </w:r>
      <w:r>
        <w:t xml:space="preserve">учёные распределяются между Зографскими и Рериховскими чтениями значительно более</w:t>
      </w:r>
      <w:r>
        <w:t xml:space="preserve"> </w:t>
      </w:r>
      <w:r>
        <w:t xml:space="preserve">обособленно, чем предсказывает уровень их активности. Пересечение в 38 человек — не</w:t>
      </w:r>
      <w:r>
        <w:t xml:space="preserve"> </w:t>
      </w:r>
      <w:r>
        <w:t xml:space="preserve">признак тесной связи двух площадок, а, напротив, свидетельство того, что переход с</w:t>
      </w:r>
      <w:r>
        <w:t xml:space="preserve"> </w:t>
      </w:r>
      <w:r>
        <w:t xml:space="preserve">одной на другую происходит заметно реже случайного ожидания.</w:t>
      </w:r>
    </w:p>
    <w:bookmarkEnd w:id="76"/>
    <w:bookmarkStart w:id="77" w:name="X999cca4bd3cea19d12708d6486e247fa5afecf8"/>
    <w:p>
      <w:pPr>
        <w:pStyle w:val="Heading3"/>
      </w:pPr>
      <w:r>
        <w:t xml:space="preserve">Г.2. Метрики «закрытости»: точечные оценки и доверительные интервалы</w:t>
      </w:r>
    </w:p>
    <w:p>
      <w:pPr>
        <w:pStyle w:val="FirstParagraph"/>
      </w:pPr>
      <w:r>
        <w:t xml:space="preserve">Шесть метрик раздела 4 — точечные оценки по конечной и неравной по объёму выборке,</w:t>
      </w:r>
      <w:r>
        <w:t xml:space="preserve"> </w:t>
      </w:r>
      <w:r>
        <w:t xml:space="preserve">поэтому к каждой относится неопределённость. Мы оцениваем её непараметрическим</w:t>
      </w:r>
      <w:r>
        <w:t xml:space="preserve"> </w:t>
      </w:r>
      <w:r>
        <w:t xml:space="preserve">бутстрепом (10 000 повторных выборок учёных с возвращением); в скобках приведён</w:t>
      </w:r>
      <w:r>
        <w:t xml:space="preserve"> </w:t>
      </w:r>
      <w:r>
        <w:t xml:space="preserve">95%-й доверительный интервал (ДИ) — диапазон, в котором с вероятностью 95% лежит</w:t>
      </w:r>
      <w:r>
        <w:t xml:space="preserve"> </w:t>
      </w:r>
      <w:r>
        <w:t xml:space="preserve">истинное значение показателя.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Зограф (95% ДИ)</w:t>
            </w:r>
          </w:p>
        </w:tc>
        <w:tc>
          <w:tcPr/>
          <w:p>
            <w:pPr>
              <w:pStyle w:val="Compact"/>
            </w:pPr>
            <w:r>
              <w:t xml:space="preserve">Рерих (95% ДИ)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разовых участников, %</w:t>
            </w:r>
          </w:p>
        </w:tc>
        <w:tc>
          <w:tcPr/>
          <w:p>
            <w:pPr>
              <w:pStyle w:val="Compact"/>
            </w:pPr>
            <w:r>
              <w:t xml:space="preserve">43,7 (36,5–50,9)</w:t>
            </w:r>
          </w:p>
        </w:tc>
        <w:tc>
          <w:tcPr/>
          <w:p>
            <w:pPr>
              <w:pStyle w:val="Compact"/>
            </w:pPr>
            <w:r>
              <w:t xml:space="preserve">38,5 (28,6–48,4)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дебютантов, %</w:t>
            </w:r>
          </w:p>
        </w:tc>
        <w:tc>
          <w:tcPr/>
          <w:p>
            <w:pPr>
              <w:pStyle w:val="Compact"/>
            </w:pPr>
            <w:r>
              <w:t xml:space="preserve">56,3 (48,5–64,1)</w:t>
            </w:r>
          </w:p>
        </w:tc>
        <w:tc>
          <w:tcPr/>
          <w:p>
            <w:pPr>
              <w:pStyle w:val="Compact"/>
            </w:pPr>
            <w:r>
              <w:t xml:space="preserve">61,5 (51,7–71,4)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ядра ≥ 5 докл., %</w:t>
            </w:r>
          </w:p>
        </w:tc>
        <w:tc>
          <w:tcPr/>
          <w:p>
            <w:pPr>
              <w:pStyle w:val="Compact"/>
            </w:pPr>
            <w:r>
              <w:t xml:space="preserve">24,0 (17,4–30,5)</w:t>
            </w:r>
          </w:p>
        </w:tc>
        <w:tc>
          <w:tcPr/>
          <w:p>
            <w:pPr>
              <w:pStyle w:val="Compact"/>
            </w:pPr>
            <w:r>
              <w:t xml:space="preserve">31,9 (23,1–41,8)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Джини</w:t>
            </w:r>
          </w:p>
        </w:tc>
        <w:tc>
          <w:tcPr/>
          <w:p>
            <w:pPr>
              <w:pStyle w:val="Compact"/>
            </w:pPr>
            <w:r>
              <w:t xml:space="preserve">0,46 (0,43–0,49)</w:t>
            </w:r>
          </w:p>
        </w:tc>
        <w:tc>
          <w:tcPr/>
          <w:p>
            <w:pPr>
              <w:pStyle w:val="Compact"/>
            </w:pPr>
            <w:r>
              <w:t xml:space="preserve">0,47 (0,43–0,50)</w:t>
            </w:r>
          </w:p>
        </w:tc>
      </w:tr>
    </w:tbl>
    <w:p>
      <w:pPr>
        <w:pStyle w:val="BodyText"/>
      </w:pPr>
      <w:r>
        <w:t xml:space="preserve">(Удержание дебютантов и доля разовых участников по построению дополняют друг друга до</w:t>
      </w:r>
      <w:r>
        <w:t xml:space="preserve"> </w:t>
      </w:r>
      <w:r>
        <w:t xml:space="preserve">100%, поэтому это, по сути, один и тот же показатель в двух видах.)</w:t>
      </w:r>
    </w:p>
    <w:p>
      <w:pPr>
        <w:pStyle w:val="BodyText"/>
      </w:pPr>
      <w:r>
        <w:t xml:space="preserve">Доверительные интервалы Зографских и Рериховских чтений по доле ядра и по удержанию</w:t>
      </w:r>
      <w:r>
        <w:t xml:space="preserve"> </w:t>
      </w:r>
      <w:r>
        <w:rPr>
          <w:b/>
          <w:bCs/>
        </w:rPr>
        <w:t xml:space="preserve">заметно перекрываются</w:t>
      </w:r>
      <w:r>
        <w:t xml:space="preserve">. Это видно и из прямой оценки разности (Рерих минус Зограф):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Различие (Рерих − Зограф)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Оценка, п.п.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ядра ≥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(−3,7; +19,3)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(p ≈ 0,18)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дебютантов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(−7,3; +17,4)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(p ≈ 0,41)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разовых участников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(−17,8; +7,4)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(p ≈ 0,40)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Джини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(−0,04; +0,05)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(p ≈ 0,72)</w:t>
            </w:r>
          </w:p>
        </w:tc>
      </w:tr>
    </w:tbl>
    <w:p>
      <w:pPr>
        <w:pStyle w:val="BodyText"/>
      </w:pPr>
      <w:r>
        <w:t xml:space="preserve">Все доверительные интервалы разностей включают ноль. Поэтому в основном тексте мы</w:t>
      </w:r>
      <w:r>
        <w:t xml:space="preserve"> </w:t>
      </w:r>
      <w:r>
        <w:t xml:space="preserve">говорим о Рериховских чтениях как о</w:t>
      </w:r>
      <w:r>
        <w:t xml:space="preserve"> </w:t>
      </w:r>
      <w:r>
        <w:rPr>
          <w:b/>
          <w:bCs/>
        </w:rPr>
        <w:t xml:space="preserve">описательно более компактной и лучше</w:t>
      </w:r>
      <w:r>
        <w:rPr>
          <w:b/>
          <w:bCs/>
        </w:rPr>
        <w:t xml:space="preserve"> </w:t>
      </w:r>
      <w:r>
        <w:rPr>
          <w:b/>
          <w:bCs/>
        </w:rPr>
        <w:t xml:space="preserve">самовоспроизводящейся</w:t>
      </w:r>
      <w:r>
        <w:t xml:space="preserve"> </w:t>
      </w:r>
      <w:r>
        <w:t xml:space="preserve">структуре, но не утверждаем статистически доказанного различия</w:t>
      </w:r>
      <w:r>
        <w:t xml:space="preserve"> </w:t>
      </w:r>
      <w:r>
        <w:t xml:space="preserve">в «закрытости»: при нынешнем объёме данных эти различия по отдельным метрикам не</w:t>
      </w:r>
      <w:r>
        <w:t xml:space="preserve"> </w:t>
      </w:r>
      <w:r>
        <w:t xml:space="preserve">достигают уровня значимости. Индекс Джини практически тождествен (различие неотличимо</w:t>
      </w:r>
      <w:r>
        <w:t xml:space="preserve"> </w:t>
      </w:r>
      <w:r>
        <w:t xml:space="preserve">от нуля), что подтверждает: концентрация активности на обеих площадках сопоставима, но</w:t>
      </w:r>
      <w:r>
        <w:t xml:space="preserve"> </w:t>
      </w:r>
      <w:r>
        <w:t xml:space="preserve">достигается в группах разного размера.</w:t>
      </w:r>
    </w:p>
    <w:bookmarkEnd w:id="77"/>
    <w:bookmarkStart w:id="81" w:name="г.3.-длительность-участия-анализ-дожития"/>
    <w:p>
      <w:pPr>
        <w:pStyle w:val="Heading3"/>
      </w:pPr>
      <w:r>
        <w:t xml:space="preserve">Г.3. Длительность участия: анализ дожития</w:t>
      </w:r>
    </w:p>
    <w:p>
      <w:pPr>
        <w:pStyle w:val="FirstParagraph"/>
      </w:pPr>
      <w:r>
        <w:t xml:space="preserve">Тезис о том, что дебютанты одной площадки «дольше остаются в строю», требует учёта</w:t>
      </w:r>
      <w:r>
        <w:t xml:space="preserve"> </w:t>
      </w:r>
      <w:r>
        <w:rPr>
          <w:b/>
          <w:bCs/>
        </w:rPr>
        <w:t xml:space="preserve">цензурирования</w:t>
      </w:r>
      <w:r>
        <w:t xml:space="preserve">: для учёных, впервые или в последний раз появившихся недавно, мы</w:t>
      </w:r>
      <w:r>
        <w:t xml:space="preserve"> </w:t>
      </w:r>
      <w:r>
        <w:t xml:space="preserve">ещё не знаем, продолжится ли их участие. Мы строим оценку дожития Каплана—Мейера, где</w:t>
      </w:r>
      <w:r>
        <w:t xml:space="preserve"> </w:t>
      </w:r>
      <w:r>
        <w:t xml:space="preserve">«временем жизни» считается число лет от первого до последнего выступления учёного на</w:t>
      </w:r>
      <w:r>
        <w:t xml:space="preserve"> </w:t>
      </w:r>
      <w:r>
        <w:t xml:space="preserve">данной площадке, а наблюдения с последним выступлением в 2024–2026 гг. считаются</w:t>
      </w:r>
      <w:r>
        <w:t xml:space="preserve"> </w:t>
      </w:r>
      <w:r>
        <w:t xml:space="preserve">цензурированными (участие потенциально продолжается).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Площадка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Учёных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Наблюдаемых «уходов»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Медианная длительность,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Рис. Г2. Кривые дожития: доля учёных, ещё активных через N лет после дебюта" title="" id="79" name="Picture"/>
            <a:graphic>
              <a:graphicData uri="http://schemas.openxmlformats.org/drawingml/2006/picture">
                <pic:pic>
                  <pic:nvPicPr>
                    <pic:cNvPr descr="hypothesis_output/km_retent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Г2. Кривые дожития: доля учёных, ещё активных через N лет после дебюта</w:t>
      </w:r>
    </w:p>
    <w:p>
      <w:pPr>
        <w:pStyle w:val="BodyText"/>
      </w:pPr>
      <w:r>
        <w:t xml:space="preserve">Различие между кривыми</w:t>
      </w:r>
      <w:r>
        <w:t xml:space="preserve"> </w:t>
      </w:r>
      <w:r>
        <w:rPr>
          <w:b/>
          <w:bCs/>
        </w:rPr>
        <w:t xml:space="preserve">статистически незначимо</w:t>
      </w:r>
      <w:r>
        <w:t xml:space="preserve"> </w:t>
      </w:r>
      <w:r>
        <w:t xml:space="preserve">(логранговый критерий χ² ≈ 0,001,</w:t>
      </w:r>
      <w:r>
        <w:t xml:space="preserve"> </w:t>
      </w:r>
      <w:r>
        <w:t xml:space="preserve">p ≈ 0,988). Более того, медианная длительность участия на Зографских чтениях не ниже,</w:t>
      </w:r>
      <w:r>
        <w:t xml:space="preserve"> </w:t>
      </w:r>
      <w:r>
        <w:t xml:space="preserve">чем на Рериховских. Поскольку Зографские чтения старше (2004–2026 против 2007/2012–2025)</w:t>
      </w:r>
      <w:r>
        <w:t xml:space="preserve"> </w:t>
      </w:r>
      <w:r>
        <w:t xml:space="preserve">и потому в принципе допускают более длинные траектории, отсутствие преимущества</w:t>
      </w:r>
      <w:r>
        <w:t xml:space="preserve"> </w:t>
      </w:r>
      <w:r>
        <w:t xml:space="preserve">Рериховских чтений тем более показательно. Следовательно, заявление о том, что дебют</w:t>
      </w:r>
      <w:r>
        <w:t xml:space="preserve"> </w:t>
      </w:r>
      <w:r>
        <w:t xml:space="preserve">на Рериховских чтениях оборачивается</w:t>
      </w:r>
      <w:r>
        <w:t xml:space="preserve"> </w:t>
      </w:r>
      <w:r>
        <w:rPr>
          <w:i/>
          <w:iCs/>
        </w:rPr>
        <w:t xml:space="preserve">более длительным</w:t>
      </w:r>
      <w:r>
        <w:t xml:space="preserve"> </w:t>
      </w:r>
      <w:r>
        <w:t xml:space="preserve">участием, нашими данными</w:t>
      </w:r>
      <w:r>
        <w:t xml:space="preserve"> </w:t>
      </w:r>
      <w:r>
        <w:rPr>
          <w:b/>
          <w:bCs/>
        </w:rPr>
        <w:t xml:space="preserve">не подтверждается</w:t>
      </w:r>
      <w:r>
        <w:t xml:space="preserve">; различие сводится к несколько более высокой доле повторных</w:t>
      </w:r>
      <w:r>
        <w:t xml:space="preserve"> </w:t>
      </w:r>
      <w:r>
        <w:t xml:space="preserve">участников (раздел Г.2), которая сама по себе незначима. В основном тексте этот сюжет</w:t>
      </w:r>
      <w:r>
        <w:t xml:space="preserve"> </w:t>
      </w:r>
      <w:r>
        <w:t xml:space="preserve">изложен соответственно осторожно.</w:t>
      </w:r>
    </w:p>
    <w:bookmarkEnd w:id="81"/>
    <w:bookmarkStart w:id="82" w:name="Xa6a56e999a3454fdd3573dd4a63a1464363f1e9"/>
    <w:p>
      <w:pPr>
        <w:pStyle w:val="Heading3"/>
      </w:pPr>
      <w:r>
        <w:t xml:space="preserve">Г.4. «Город вместо учреждения» как свойство формата, а не биографии</w:t>
      </w:r>
    </w:p>
    <w:p>
      <w:pPr>
        <w:pStyle w:val="FirstParagraph"/>
      </w:pPr>
      <w:r>
        <w:t xml:space="preserve">В разделах 5 и 6 многократно отмечается, что у значительной части участников в наших</w:t>
      </w:r>
      <w:r>
        <w:t xml:space="preserve"> </w:t>
      </w:r>
      <w:r>
        <w:t xml:space="preserve">данных указан лишь город, без учреждения. Важно показать, что это свойство</w:t>
      </w:r>
      <w:r>
        <w:t xml:space="preserve"> </w:t>
      </w:r>
      <w:r>
        <w:rPr>
          <w:b/>
          <w:bCs/>
        </w:rPr>
        <w:t xml:space="preserve">формата</w:t>
      </w:r>
      <w:r>
        <w:rPr>
          <w:b/>
          <w:bCs/>
        </w:rPr>
        <w:t xml:space="preserve"> </w:t>
      </w:r>
      <w:r>
        <w:rPr>
          <w:b/>
          <w:bCs/>
        </w:rPr>
        <w:t xml:space="preserve">публикации программ</w:t>
      </w:r>
      <w:r>
        <w:t xml:space="preserve">, а не признак реальной «безынституциональности» (прекаризации)</w:t>
      </w:r>
      <w:r>
        <w:t xml:space="preserve"> </w:t>
      </w:r>
      <w:r>
        <w:t xml:space="preserve">конкретных учёных. Мы классифицируем каждое из 899 участий как «только город / без</w:t>
      </w:r>
      <w:r>
        <w:t xml:space="preserve"> </w:t>
      </w:r>
      <w:r>
        <w:t xml:space="preserve">указания» либо «учреждение» и сравниваем долю «только город» между площадками.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Площадка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«Только город»,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Зограф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Рерих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</w:tr>
    </w:tbl>
    <w:p>
      <w:pPr>
        <w:pStyle w:val="BodyText"/>
      </w:pPr>
      <w:r>
        <w:t xml:space="preserve">Различие огромно и устойчиво при учёте года (метод Кохрана—Мантеля—Хензеля со</w:t>
      </w:r>
      <w:r>
        <w:t xml:space="preserve"> </w:t>
      </w:r>
      <w:r>
        <w:t xml:space="preserve">стратификацией по годам: отношение шансов ≈ 157, χ² ≈ 381, p ≈ 8 × 10⁻⁸⁵). Иными</w:t>
      </w:r>
      <w:r>
        <w:t xml:space="preserve"> </w:t>
      </w:r>
      <w:r>
        <w:t xml:space="preserve">словами, «город вместо учреждения» практически полностью предсказывается тем, на какой</w:t>
      </w:r>
      <w:r>
        <w:t xml:space="preserve"> </w:t>
      </w:r>
      <w:r>
        <w:t xml:space="preserve">площадке опубликована программа, и почти не зависит от года. Поэтому рост или падение</w:t>
      </w:r>
      <w:r>
        <w:t xml:space="preserve"> </w:t>
      </w:r>
      <w:r>
        <w:t xml:space="preserve">доли участников «без аффилиации» нельзя прямо читать как признак прекаризации научного</w:t>
      </w:r>
      <w:r>
        <w:t xml:space="preserve"> </w:t>
      </w:r>
      <w:r>
        <w:t xml:space="preserve">сообщества: это в первую очередь разный редакционный стандарт публикации программ</w:t>
      </w:r>
      <w:r>
        <w:t xml:space="preserve"> </w:t>
      </w:r>
      <w:r>
        <w:t xml:space="preserve">Зографских и Рериховских чтений. Содержательная проверка институциональной</w:t>
      </w:r>
      <w:r>
        <w:t xml:space="preserve"> </w:t>
      </w:r>
      <w:r>
        <w:t xml:space="preserve">принадлежности конкретных участников (раздел 5.2 и приложение по исторической</w:t>
      </w:r>
      <w:r>
        <w:t xml:space="preserve"> </w:t>
      </w:r>
      <w:r>
        <w:t xml:space="preserve">аффилиации) поэтому требует внешних, биографических источников, а не самой программы.</w:t>
      </w:r>
    </w:p>
    <w:bookmarkEnd w:id="82"/>
    <w:bookmarkStart w:id="83" w:name="замечание-о-воспроизводимости"/>
    <w:p>
      <w:pPr>
        <w:pStyle w:val="Heading3"/>
      </w:pPr>
      <w:r>
        <w:t xml:space="preserve">Замечание о воспроизводимости</w:t>
      </w:r>
    </w:p>
    <w:p>
      <w:pPr>
        <w:pStyle w:val="FirstParagraph"/>
      </w:pPr>
      <w:r>
        <w:t xml:space="preserve">Все значения настоящего приложения получены из базы</w:t>
      </w:r>
      <w:r>
        <w:t xml:space="preserve"> </w:t>
      </w:r>
      <w:r>
        <w:rPr>
          <w:rStyle w:val="VerbatimChar"/>
        </w:rPr>
        <w:t xml:space="preserve">conferences.db</w:t>
      </w:r>
      <w:r>
        <w:t xml:space="preserve"> </w:t>
      </w:r>
      <w:r>
        <w:t xml:space="preserve">единственным</w:t>
      </w:r>
      <w:r>
        <w:t xml:space="preserve"> </w:t>
      </w:r>
      <w:r>
        <w:t xml:space="preserve">скриптом</w:t>
      </w:r>
      <w:r>
        <w:t xml:space="preserve"> </w:t>
      </w:r>
      <w:r>
        <w:rPr>
          <w:rStyle w:val="VerbatimChar"/>
        </w:rPr>
        <w:t xml:space="preserve">article/work_appendix_g.py</w:t>
      </w:r>
      <w:r>
        <w:t xml:space="preserve"> </w:t>
      </w:r>
      <w:r>
        <w:t xml:space="preserve">(нулевая модель — 20 000 перестановок, бутстреп —</w:t>
      </w:r>
      <w:r>
        <w:t xml:space="preserve"> </w:t>
      </w:r>
      <w:r>
        <w:t xml:space="preserve">10 000 повторных выборок, фиксированное зерно генератора 20260522). Промежуточные</w:t>
      </w:r>
      <w:r>
        <w:t xml:space="preserve"> </w:t>
      </w:r>
      <w:r>
        <w:t xml:space="preserve">таблицы сохранены в</w:t>
      </w:r>
      <w:r>
        <w:t xml:space="preserve"> </w:t>
      </w:r>
      <w:r>
        <w:rPr>
          <w:rStyle w:val="VerbatimChar"/>
        </w:rPr>
        <w:t xml:space="preserve">article/hypothesis_output/</w:t>
      </w:r>
      <w:r>
        <w:t xml:space="preserve"> </w:t>
      </w:r>
      <w:r>
        <w:t xml:space="preserve">(</w:t>
      </w:r>
      <w:r>
        <w:rPr>
          <w:rStyle w:val="VerbatimChar"/>
        </w:rPr>
        <w:t xml:space="preserve">appendix_g_summary.csv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appendix_g_metrics_ci.csv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appendix_g_diff_ci.csv</w:t>
      </w:r>
      <w:r>
        <w:t xml:space="preserve">).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52" Target="media/rId52.png" /><Relationship Type="http://schemas.openxmlformats.org/officeDocument/2006/relationships/image" Id="rId17" Target="media/rId17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78" Target="media/rId78.png" /><Relationship Type="http://schemas.openxmlformats.org/officeDocument/2006/relationships/image" Id="rId55" Target="media/rId55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2026-07-21T12:44:50Z</dcterms:created>
  <dcterms:modified xsi:type="dcterms:W3CDTF">2026-07-21T12:44:50Z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