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5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Редакционная пауза, 24.05.2026.</w:t>
      </w:r>
      <w:r>
        <w:t xml:space="preserve"> </w:t>
      </w:r>
      <w:r>
        <w:t xml:space="preserve">После восстановления ранее пропущенных</w:t>
      </w:r>
      <w:r>
        <w:t xml:space="preserve"> </w:t>
      </w:r>
      <w:r>
        <w:t xml:space="preserve">строк официальных программ текущая база содержит</w:t>
      </w:r>
      <w:r>
        <w:t xml:space="preserve"> </w:t>
      </w:r>
      <w:r>
        <w:rPr>
          <w:b/>
          <w:bCs/>
        </w:rPr>
        <w:t xml:space="preserve">286 участников, 1350</w:t>
      </w:r>
      <w:r>
        <w:rPr>
          <w:b/>
          <w:bCs/>
        </w:rPr>
        <w:t xml:space="preserve"> </w:t>
      </w:r>
      <w:r>
        <w:rPr>
          <w:b/>
          <w:bCs/>
        </w:rPr>
        <w:t xml:space="preserve">уникальных докладов и 1377 авторских участий</w:t>
      </w:r>
      <w:r>
        <w:t xml:space="preserve"> </w:t>
      </w:r>
      <w:r>
        <w:t xml:space="preserve">за</w:t>
      </w:r>
      <w:r>
        <w:t xml:space="preserve"> </w:t>
      </w:r>
      <w:r>
        <w:rPr>
          <w:b/>
          <w:bCs/>
        </w:rPr>
        <w:t xml:space="preserve">22 программных года</w:t>
      </w:r>
      <w:r>
        <w:t xml:space="preserve">.</w:t>
      </w:r>
      <w:r>
        <w:t xml:space="preserve"> </w:t>
      </w:r>
      <w:r>
        <w:t xml:space="preserve">Численные результаты этой расширенной рабочей версии требуют повторного</w:t>
      </w:r>
      <w:r>
        <w:t xml:space="preserve"> </w:t>
      </w:r>
      <w:r>
        <w:t xml:space="preserve">расчета перед использованием в публикации.</w:t>
      </w:r>
      <w:r>
        <w:t xml:space="preserve"> </w:t>
      </w:r>
      <w:r>
        <w:t xml:space="preserve">Сверенные текущие показатели вынесены в</w:t>
      </w:r>
      <w:r>
        <w:t xml:space="preserve"> </w:t>
      </w:r>
      <w:r>
        <w:rPr>
          <w:rStyle w:val="VerbatimChar"/>
        </w:rPr>
        <w:t xml:space="preserve">ppv_submission_article.md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и на страницу</w:t>
      </w:r>
      <w:r>
        <w:t xml:space="preserve"> </w:t>
      </w:r>
      <w:r>
        <w:rPr>
          <w:rStyle w:val="VerbatimChar"/>
        </w:rPr>
        <w:t xml:space="preserve">findings/</w:t>
      </w:r>
      <w:r>
        <w:t xml:space="preserve">; ниже в рабочем</w:t>
      </w:r>
      <w:r>
        <w:t xml:space="preserve"> </w:t>
      </w:r>
      <w:r>
        <w:t xml:space="preserve">драфте сохраняются отдельные архивные разделы старого расчетного слоя.</w:t>
      </w:r>
    </w:p>
    <w:p>
      <w:pPr>
        <w:pStyle w:val="FirstParagraph"/>
      </w:pPr>
      <w:r>
        <w:t xml:space="preserve">УДК 061.3:001.32(470:540)</w:t>
      </w:r>
    </w:p>
    <w:bookmarkStart w:id="85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Н11–Н35.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Отдельно следует различать опубликованную программу и фактически состоявшийся ход</w:t>
      </w:r>
      <w:r>
        <w:t xml:space="preserve"> </w:t>
      </w:r>
      <w:r>
        <w:t xml:space="preserve">заседания. Программа фиксирует заявленное административное состояние расписания на</w:t>
      </w:r>
      <w:r>
        <w:t xml:space="preserve"> </w:t>
      </w:r>
      <w:r>
        <w:t xml:space="preserve">момент публикации, но не гарантирует, что каждый доклад был прочитан именно в</w:t>
      </w:r>
      <w:r>
        <w:t xml:space="preserve"> </w:t>
      </w:r>
      <w:r>
        <w:t xml:space="preserve">указанном формате и порядке. На практике возможны переход очного доклада в</w:t>
      </w:r>
      <w:r>
        <w:t xml:space="preserve"> </w:t>
      </w:r>
      <w:r>
        <w:t xml:space="preserve">онлайн-режим, перестановка выступлений внутри секции, отмена доклада или неявка</w:t>
      </w:r>
      <w:r>
        <w:t xml:space="preserve"> </w:t>
      </w:r>
      <w:r>
        <w:t xml:space="preserve">докладчика; при этом публичная программа после события может не обновляться. Поэтому</w:t>
      </w:r>
      <w:r>
        <w:t xml:space="preserve"> </w:t>
      </w:r>
      <w:r>
        <w:t xml:space="preserve">записи корпуса в настоящей статье трактуются как данные о публичной программной</w:t>
      </w:r>
      <w:r>
        <w:t xml:space="preserve"> </w:t>
      </w:r>
      <w:r>
        <w:t xml:space="preserve">видимости, а не как самостоятельное доказательство фактического присутствия,</w:t>
      </w:r>
      <w:r>
        <w:t xml:space="preserve"> </w:t>
      </w:r>
      <w:r>
        <w:t xml:space="preserve">прослушивания или рецепции доклада. Такие утверждения требуют дополнительной</w:t>
      </w:r>
      <w:r>
        <w:t xml:space="preserve"> </w:t>
      </w:r>
      <w:r>
        <w:t xml:space="preserve">верификации по видеозаписям, расписаниям дня, свидетельствам участников или</w:t>
      </w:r>
      <w:r>
        <w:t xml:space="preserve"> </w:t>
      </w:r>
      <w:r>
        <w:t xml:space="preserve">протоколам заседаний.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2.6% (28 докладов из 1077).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5.7% (17 докладов из 300).</w:t>
      </w:r>
      <w:r>
        <w:t xml:space="preserve"> </w:t>
      </w:r>
      <w:r>
        <w:t xml:space="preserve">* Применение точного критерия Фишера указывает на статистически значимое различие между группами (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но направление различия противоположно сильной версии гипотезы: относительная доля сериализованных докладов выше не у ядра, а у периферии.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24.9% (194 дебютанта из 780 уникальных участнико-лет), а в эру Альбедиль — Иванова — 23.1% (27 из 117).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). Соотношение между доминирующими филологическими, философскими и религиоведческими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Распределение докладов по исследуемым эпохам также не показывает статистически значимого перераспределения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). Описательно заметно снижение доли классического периода (с 37.6% в эру Василькова до 26.3% в эру Альбедиль — Иванова) и рост доли тем модерного периода (с 9.9% до 15.8%), но при текущем объеме двух переходных программ этот сюжет должен оставаться наблюдаемой тенденцией, а не доказанным сдвигом.</w:t>
      </w:r>
    </w:p>
    <w:p>
      <w:pPr>
        <w:pStyle w:val="BodyText"/>
      </w:pPr>
      <w:r>
        <w:t xml:space="preserve">Таким образом, смена руководства конференцией не привела к регистрируемой смене кадровой политики, дисциплинарного фокуса или распределения хронологических периодов. Описательное снижение доли классического периода и рост модерна в двух переходных программах можно показывать как наблюдаемую тенденцию, но не как доказанный тематический сдвиг.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62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несколько групп</w:t>
      </w:r>
      <w:r>
        <w:t xml:space="preserve"> </w:t>
      </w:r>
      <w:r>
        <w:t xml:space="preserve">гипотез, связанных не столько с численностью площадок, сколько с устройством</w:t>
      </w:r>
      <w:r>
        <w:t xml:space="preserve"> </w:t>
      </w:r>
      <w:r>
        <w:t xml:space="preserve">источниковой видимости, жанром доклада и масштабом научного обобщения. Их статус</w:t>
      </w:r>
      <w:r>
        <w:t xml:space="preserve"> </w:t>
      </w:r>
      <w:r>
        <w:t xml:space="preserve">различен: часть уже проверяется текущими таблицами, часть требует отдельного</w:t>
      </w:r>
      <w:r>
        <w:t xml:space="preserve"> </w:t>
      </w:r>
      <w:r>
        <w:t xml:space="preserve">биографического или институционального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 Сильные результаты</w:t>
      </w:r>
      <w:r>
        <w:t xml:space="preserve"> </w:t>
      </w:r>
      <w:r>
        <w:t xml:space="preserve">выделены как подтвержденные или предварительно подтвержденные; слабые оставлены как</w:t>
      </w:r>
      <w:r>
        <w:t xml:space="preserve"> </w:t>
      </w:r>
      <w:r>
        <w:t xml:space="preserve">направления дальнейшей проверки, чтобы не подменять статистику интерпретацией.</w:t>
      </w:r>
    </w:p>
    <w:bookmarkStart w:id="59" w:name="источниковая-видимость-и-медиаслой"/>
    <w:p>
      <w:pPr>
        <w:pStyle w:val="Heading3"/>
      </w:pPr>
      <w:r>
        <w:t xml:space="preserve">10.1. Источниковая видимость и медиаслой</w:t>
      </w:r>
    </w:p>
    <w:p>
      <w:pPr>
        <w:pStyle w:val="FirstParagraph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bookmarkEnd w:id="59"/>
    <w:bookmarkStart w:id="60" w:name="X3d7cc22571022004121cca708e6e900a893a416"/>
    <w:p>
      <w:pPr>
        <w:pStyle w:val="Heading3"/>
      </w:pPr>
      <w:r>
        <w:t xml:space="preserve">10.2. Дополнительные социальные и жанровые гипотезы</w:t>
      </w:r>
    </w:p>
    <w:p>
      <w:pPr>
        <w:pStyle w:val="FirstParagraph"/>
      </w:pPr>
      <w:r>
        <w:rPr>
          <w:b/>
          <w:bCs/>
        </w:rPr>
        <w:t xml:space="preserve">Н16. Онлайн-формат 2020 г. расширил вход, но не создал устойчивую новую когорту.</w:t>
      </w:r>
      <w:r>
        <w:t xml:space="preserve"> </w:t>
      </w:r>
      <w:r>
        <w:t xml:space="preserve">В 2020 г. в корпус вошли 16 дебютантов; к последующим годам вернулись 8 из них</w:t>
      </w:r>
      <w:r>
        <w:t xml:space="preserve"> </w:t>
      </w:r>
      <w:r>
        <w:t xml:space="preserve">(50.0%). Для дебютантов соседнего периода 2018–2019 и 2021–2022 гг. возвращаемость</w:t>
      </w:r>
      <w:r>
        <w:t xml:space="preserve"> </w:t>
      </w:r>
      <w:r>
        <w:t xml:space="preserve">составляет 20 из 35 (57.1%);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0.764</m:t>
        </m:r>
      </m:oMath>
      <w:r>
        <w:t xml:space="preserve">). Следовательно,</w:t>
      </w:r>
      <w:r>
        <w:t xml:space="preserve"> </w:t>
      </w:r>
      <w:r>
        <w:t xml:space="preserve">пандемийный и онлайн-контекст мог облегчить вход, но пока не выглядит механизмом</w:t>
      </w:r>
      <w:r>
        <w:t xml:space="preserve"> </w:t>
      </w:r>
      <w:r>
        <w:t xml:space="preserve">долговременного закрепления новых участников.</w:t>
      </w:r>
    </w:p>
    <w:p>
      <w:pPr>
        <w:pStyle w:val="BodyText"/>
      </w:pPr>
      <w:r>
        <w:rPr>
          <w:b/>
          <w:bCs/>
        </w:rPr>
        <w:t xml:space="preserve">Н17. Тематическая специализация сама по себе не повышает удержание участника.</w:t>
      </w:r>
      <w:r>
        <w:t xml:space="preserve"> </w:t>
      </w:r>
      <w:r>
        <w:t xml:space="preserve">Первоначальная формулировка предполагала, что возвращаются прежде всего авторы с</w:t>
      </w:r>
      <w:r>
        <w:t xml:space="preserve"> </w:t>
      </w:r>
      <w:r>
        <w:t xml:space="preserve">устойчивой темой. Текущий срез скорее усложняет этот тезис: участники ядра имеют</w:t>
      </w:r>
      <w:r>
        <w:t xml:space="preserve"> </w:t>
      </w:r>
      <w:r>
        <w:t xml:space="preserve">больше тематических рубрик в абсолютном выражении (медиана 3 против 1 у не-ядра),</w:t>
      </w:r>
      <w:r>
        <w:t xml:space="preserve"> </w:t>
      </w:r>
      <w:r>
        <w:t xml:space="preserve">что частично связано с большим числом докладов, а среди повторных участников ядро</w:t>
      </w:r>
      <w:r>
        <w:t xml:space="preserve"> </w:t>
      </w:r>
      <w:r>
        <w:t xml:space="preserve">сохраняет более выраженный профиль доминирующей темы, но не становится тематически</w:t>
      </w:r>
      <w:r>
        <w:t xml:space="preserve"> </w:t>
      </w:r>
      <w:r>
        <w:t xml:space="preserve">однообразным. Поэтому Н17 следует считать не подтвержденной в простой форме: удержание</w:t>
      </w:r>
      <w:r>
        <w:t xml:space="preserve"> </w:t>
      </w:r>
      <w:r>
        <w:t xml:space="preserve">связано не с одной темой, а с сочетанием долговременной специализации и способности</w:t>
      </w:r>
      <w:r>
        <w:t xml:space="preserve"> </w:t>
      </w:r>
      <w:r>
        <w:t xml:space="preserve">переходить между близкими сюжетами.</w:t>
      </w:r>
    </w:p>
    <w:p>
      <w:pPr>
        <w:pStyle w:val="BodyText"/>
      </w:pPr>
      <w:r>
        <w:rPr>
          <w:b/>
          <w:bCs/>
        </w:rPr>
        <w:t xml:space="preserve">Н18. Перекрестные участники не являются универсалами, а переносят между площадками</w:t>
      </w:r>
      <w:r>
        <w:rPr>
          <w:b/>
          <w:bCs/>
        </w:rPr>
        <w:t xml:space="preserve"> </w:t>
      </w:r>
      <w:r>
        <w:rPr>
          <w:b/>
          <w:bCs/>
        </w:rPr>
        <w:t xml:space="preserve">собственные тематические траектории.</w:t>
      </w:r>
      <w:r>
        <w:t xml:space="preserve"> </w:t>
      </w:r>
      <w:r>
        <w:t xml:space="preserve">Для 38 участников обеих площадок медианная</w:t>
      </w:r>
      <w:r>
        <w:t xml:space="preserve"> </w:t>
      </w:r>
      <w:r>
        <w:t xml:space="preserve">косинусная близость тематических профилей между Зографом и Рерихом составляет около</w:t>
      </w:r>
      <w:r>
        <w:t xml:space="preserve"> </w:t>
      </w:r>
      <w:r>
        <w:t xml:space="preserve">0.79. При этом совпадение доминирующей крупной рубрики наблюдается не у всех, поскольку</w:t>
      </w:r>
      <w:r>
        <w:t xml:space="preserve"> </w:t>
      </w:r>
      <w:r>
        <w:t xml:space="preserve">часть ранних и зографских докладов попадает в широкую категорию «не классифицировано».</w:t>
      </w:r>
      <w:r>
        <w:t xml:space="preserve"> </w:t>
      </w:r>
      <w:r>
        <w:t xml:space="preserve">Гипотеза поэтому предварительно поддержана на уровне близости профилей, но нуждается</w:t>
      </w:r>
      <w:r>
        <w:t xml:space="preserve"> </w:t>
      </w:r>
      <w:r>
        <w:t xml:space="preserve">в проверке на более детальной тематической сетке.</w:t>
      </w:r>
    </w:p>
    <w:p>
      <w:pPr>
        <w:pStyle w:val="BodyText"/>
      </w:pPr>
      <w:r>
        <w:rPr>
          <w:b/>
          <w:bCs/>
        </w:rPr>
        <w:t xml:space="preserve">Н19. Рериховские чтения сильнее завязаны на институциональную преемственность,</w:t>
      </w:r>
      <w:r>
        <w:rPr>
          <w:b/>
          <w:bCs/>
        </w:rPr>
        <w:t xml:space="preserve"> </w:t>
      </w:r>
      <w:r>
        <w:rPr>
          <w:b/>
          <w:bCs/>
        </w:rPr>
        <w:t xml:space="preserve">а Зографские – на персональную и городскую видимость.</w:t>
      </w:r>
      <w:r>
        <w:t xml:space="preserve"> </w:t>
      </w:r>
      <w:r>
        <w:t xml:space="preserve">Эта гипотеза объединяет</w:t>
      </w:r>
      <w:r>
        <w:t xml:space="preserve"> </w:t>
      </w:r>
      <w:r>
        <w:t xml:space="preserve">результаты Н11 и институционального раздела: Рериховские программы чаще показывают</w:t>
      </w:r>
      <w:r>
        <w:t xml:space="preserve"> </w:t>
      </w:r>
      <w:r>
        <w:t xml:space="preserve">организации, тогда как Зографские почти всегда публикуют город. Следовательно,</w:t>
      </w:r>
      <w:r>
        <w:t xml:space="preserve"> </w:t>
      </w:r>
      <w:r>
        <w:t xml:space="preserve">сравниваются не только две конференции, но и два режима публичного представления</w:t>
      </w:r>
      <w:r>
        <w:t xml:space="preserve"> </w:t>
      </w:r>
      <w:r>
        <w:t xml:space="preserve">академической принадлежности: институциональный и персонально-городской.</w:t>
      </w:r>
    </w:p>
    <w:p>
      <w:pPr>
        <w:pStyle w:val="BodyText"/>
      </w:pPr>
      <w:r>
        <w:rPr>
          <w:b/>
          <w:bCs/>
        </w:rPr>
        <w:t xml:space="preserve">Н20. Высокая доля микрокейсового уровня связана с низкой межавторской интеграцией</w:t>
      </w:r>
      <w:r>
        <w:rPr>
          <w:b/>
          <w:bCs/>
        </w:rPr>
        <w:t xml:space="preserve"> </w:t>
      </w:r>
      <w:r>
        <w:rPr>
          <w:b/>
          <w:bCs/>
        </w:rPr>
        <w:t xml:space="preserve">поля.</w:t>
      </w:r>
      <w:r>
        <w:t xml:space="preserve"> </w:t>
      </w:r>
      <w:r>
        <w:t xml:space="preserve">Более 99% докладов остаются индивидуальными, а 95.2% уникальных докладов</w:t>
      </w:r>
      <w:r>
        <w:t xml:space="preserve"> </w:t>
      </w:r>
      <w:r>
        <w:t xml:space="preserve">относятся к уровню G1. Прямая причинная связь между этими признаками не доказана:</w:t>
      </w:r>
      <w:r>
        <w:t xml:space="preserve"> </w:t>
      </w:r>
      <w:r>
        <w:t xml:space="preserve">и микрокейсовость, и индивидуальное авторство могут быть независимыми следствиями</w:t>
      </w:r>
      <w:r>
        <w:t xml:space="preserve"> </w:t>
      </w:r>
      <w:r>
        <w:t xml:space="preserve">гуманитарного жанра. Но вместе они задают проверяемую модель поля как совокупности</w:t>
      </w:r>
      <w:r>
        <w:t xml:space="preserve"> </w:t>
      </w:r>
      <w:r>
        <w:t xml:space="preserve">индивидуальных источниковедческих траекторий, а не коллективных исследовательских</w:t>
      </w:r>
      <w:r>
        <w:t xml:space="preserve"> </w:t>
      </w:r>
      <w:r>
        <w:t xml:space="preserve">программ.</w:t>
      </w:r>
    </w:p>
    <w:p>
      <w:pPr>
        <w:pStyle w:val="BodyText"/>
      </w:pPr>
      <w:r>
        <w:rPr>
          <w:b/>
          <w:bCs/>
        </w:rPr>
        <w:t xml:space="preserve">Н21. Ядро не обязательно более тематически закрыто, чем периферия.</w:t>
      </w:r>
      <w:r>
        <w:t xml:space="preserve"> </w:t>
      </w:r>
      <w:r>
        <w:t xml:space="preserve">На грубом</w:t>
      </w:r>
      <w:r>
        <w:t xml:space="preserve"> </w:t>
      </w:r>
      <w:r>
        <w:t xml:space="preserve">уровне ядро имеет больше тематических рубрик, потому что чаще выступает. При сравнении</w:t>
      </w:r>
      <w:r>
        <w:t xml:space="preserve"> </w:t>
      </w:r>
      <w:r>
        <w:t xml:space="preserve">только повторных участников ядро показывает не полную монотематичность, а устойчивое</w:t>
      </w:r>
      <w:r>
        <w:t xml:space="preserve"> </w:t>
      </w:r>
      <w:r>
        <w:t xml:space="preserve">возвращение к нескольким близким направлениям. Поэтому Н21 важна как корректирующая:</w:t>
      </w:r>
      <w:r>
        <w:t xml:space="preserve"> </w:t>
      </w:r>
      <w:r>
        <w:t xml:space="preserve">«ядро» нельзя автоматически отождествлять с тематической закрытостью; оно скорее</w:t>
      </w:r>
      <w:r>
        <w:t xml:space="preserve"> </w:t>
      </w:r>
      <w:r>
        <w:t xml:space="preserve">обладает большей емкостью и более длинной траекторией.</w:t>
      </w:r>
    </w:p>
    <w:p>
      <w:pPr>
        <w:pStyle w:val="BodyText"/>
      </w:pPr>
      <w:r>
        <w:rPr>
          <w:b/>
          <w:bCs/>
        </w:rPr>
        <w:t xml:space="preserve">Н22. Новички чаще входят через современные или колониальные сюжеты, но не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прикладные темы.</w:t>
      </w:r>
      <w:r>
        <w:t xml:space="preserve"> </w:t>
      </w:r>
      <w:r>
        <w:t xml:space="preserve">На уровне авторских участий современные/колониальные темы</w:t>
      </w:r>
      <w:r>
        <w:t xml:space="preserve"> </w:t>
      </w:r>
      <w:r>
        <w:t xml:space="preserve">составляют 21.8% дебютных докладов против 15.8% повторных (</w:t>
      </w:r>
      <m:oMath>
        <m:r>
          <m:t>p</m:t>
        </m:r>
        <m:r>
          <m:rPr>
            <m:sty m:val="p"/>
          </m:rPr>
          <m:t>≈</m:t>
        </m:r>
        <m:r>
          <m:t>0.0505</m:t>
        </m:r>
      </m:oMath>
      <w:r>
        <w:t xml:space="preserve">),</w:t>
      </w:r>
      <w:r>
        <w:t xml:space="preserve"> </w:t>
      </w:r>
      <w:r>
        <w:t xml:space="preserve">то есть эффект находится на границе значимости. Прикладные и методологические</w:t>
      </w:r>
      <w:r>
        <w:t xml:space="preserve"> </w:t>
      </w:r>
      <w:r>
        <w:t xml:space="preserve">доклады, напротив, не чаще встречаются у дебютантов (5.0% против 7.5%,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0.222</m:t>
        </m:r>
      </m:oMath>
      <w:r>
        <w:t xml:space="preserve">). Поэтому Н22 подтверждается только в части современно-колониального входа,</w:t>
      </w:r>
      <w:r>
        <w:t xml:space="preserve"> </w:t>
      </w:r>
      <w:r>
        <w:t xml:space="preserve">но не как общий «прикладной» канал.</w:t>
      </w:r>
    </w:p>
    <w:p>
      <w:pPr>
        <w:pStyle w:val="BodyText"/>
      </w:pPr>
      <w:r>
        <w:rPr>
          <w:b/>
          <w:bCs/>
        </w:rPr>
        <w:t xml:space="preserve">Н23. Возможные гендерные различия в удержании и тематических нишах пока не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проверяются корректно.</w:t>
      </w:r>
      <w:r>
        <w:t xml:space="preserve"> </w:t>
      </w:r>
      <w:r>
        <w:t xml:space="preserve">В текущей базе нет надежного верифицированного поля пола</w:t>
      </w:r>
      <w:r>
        <w:t xml:space="preserve"> </w:t>
      </w:r>
      <w:r>
        <w:t xml:space="preserve">или гендера участника. Следовательно, эта гипотеза сохраняется как потенциально</w:t>
      </w:r>
      <w:r>
        <w:t xml:space="preserve"> </w:t>
      </w:r>
      <w:r>
        <w:t xml:space="preserve">важная для будущего исследования, но не включается в доказательную часть без</w:t>
      </w:r>
      <w:r>
        <w:t xml:space="preserve"> </w:t>
      </w:r>
      <w:r>
        <w:t xml:space="preserve">отдельного этически и источниковедчески аккуратного слоя разметки.</w:t>
      </w:r>
    </w:p>
    <w:p>
      <w:pPr>
        <w:pStyle w:val="BodyText"/>
      </w:pPr>
      <w:r>
        <w:rPr>
          <w:b/>
          <w:bCs/>
        </w:rPr>
        <w:t xml:space="preserve">Н24. Жанр заголовка меняется после 2020 г., но не как простой линейный рост длины.</w:t>
      </w:r>
      <w:r>
        <w:t xml:space="preserve"> </w:t>
      </w:r>
      <w:r>
        <w:t xml:space="preserve">Медиана длины названия остается около 8 слов, однако после 2023 г. растет средняя</w:t>
      </w:r>
      <w:r>
        <w:t xml:space="preserve"> </w:t>
      </w:r>
      <w:r>
        <w:t xml:space="preserve">длина (до 10.3 слова) и доля названий с двоеточием (25.5%). При этом общий</w:t>
      </w:r>
      <w:r>
        <w:t xml:space="preserve"> </w:t>
      </w:r>
      <w:r>
        <w:t xml:space="preserve">монотонный тренд по годам неоднозначен. Поэтому корректная формулировка Н24: в</w:t>
      </w:r>
      <w:r>
        <w:t xml:space="preserve"> </w:t>
      </w:r>
      <w:r>
        <w:t xml:space="preserve">новейшем слое заметно усиливается объяснительный и подзаголовочный жанр названия,</w:t>
      </w:r>
      <w:r>
        <w:t xml:space="preserve"> </w:t>
      </w:r>
      <w:r>
        <w:t xml:space="preserve">но это не сводится к простому ежегодному удлинению всех заголовков.</w:t>
      </w:r>
    </w:p>
    <w:p>
      <w:pPr>
        <w:pStyle w:val="BodyText"/>
      </w:pPr>
      <w:r>
        <w:rPr>
          <w:b/>
          <w:bCs/>
        </w:rPr>
        <w:t xml:space="preserve">Н25. Видеоархив усиливает видимость технически доступных годов и слабо связан с</w:t>
      </w:r>
      <w:r>
        <w:rPr>
          <w:b/>
          <w:bCs/>
        </w:rPr>
        <w:t xml:space="preserve"> </w:t>
      </w:r>
      <w:r>
        <w:rPr>
          <w:b/>
          <w:bCs/>
        </w:rPr>
        <w:t xml:space="preserve">центральностью участника.</w:t>
      </w:r>
      <w:r>
        <w:t xml:space="preserve"> </w:t>
      </w:r>
      <w:r>
        <w:t xml:space="preserve">Прямые видеоссылки есть у 82 докладов; доля видео у</w:t>
      </w:r>
      <w:r>
        <w:t xml:space="preserve"> </w:t>
      </w:r>
      <w:r>
        <w:t xml:space="preserve">докладов ядра (9.0%) почти не отличается от не-ядра (9.5%), а у перекрестных</w:t>
      </w:r>
      <w:r>
        <w:t xml:space="preserve"> </w:t>
      </w:r>
      <w:r>
        <w:t xml:space="preserve">участников (8.2%) – от одноплощадочных (9.8%). Значит YouTube-покрытие отражает</w:t>
      </w:r>
      <w:r>
        <w:t xml:space="preserve"> </w:t>
      </w:r>
      <w:r>
        <w:t xml:space="preserve">не столько статус автора, сколько год, режим записи и последующую публикацию</w:t>
      </w:r>
      <w:r>
        <w:t xml:space="preserve"> </w:t>
      </w:r>
      <w:r>
        <w:t xml:space="preserve">материалов.</w:t>
      </w:r>
    </w:p>
    <w:bookmarkEnd w:id="60"/>
    <w:bookmarkStart w:id="61" w:name="X520e2aba90629ba133a201935eafe38e2634f9f"/>
    <w:p>
      <w:pPr>
        <w:pStyle w:val="Heading3"/>
      </w:pPr>
      <w:r>
        <w:t xml:space="preserve">10.3. Гумилевская шкала как ось масштаба обобщения</w:t>
      </w:r>
    </w:p>
    <w:p>
      <w:pPr>
        <w:pStyle w:val="FirstParagraph"/>
      </w:pPr>
      <w:r>
        <w:rPr>
          <w:b/>
          <w:bCs/>
        </w:rPr>
        <w:t xml:space="preserve">Н26. Российская конференционная индология устроена как культура микрокейса.</w:t>
      </w:r>
      <w:r>
        <w:t xml:space="preserve"> </w:t>
      </w:r>
      <w:r>
        <w:t xml:space="preserve">Это самый сильный результат гумилевской шкалы: из 895 уникальных докладов 852</w:t>
      </w:r>
      <w:r>
        <w:t xml:space="preserve"> </w:t>
      </w:r>
      <w:r>
        <w:t xml:space="preserve">(95.2%) относятся к G1, то есть к уровню отдельного текста, автора, источника,</w:t>
      </w:r>
      <w:r>
        <w:t xml:space="preserve"> </w:t>
      </w:r>
      <w:r>
        <w:t xml:space="preserve">термина или локального сюжета. G2 включает 37 докладов, G3 – только 6. Поэтому</w:t>
      </w:r>
      <w:r>
        <w:t xml:space="preserve"> </w:t>
      </w:r>
      <w:r>
        <w:t xml:space="preserve">микрокейс в данном корпусе не маргинален, а является нормой жанра.</w:t>
      </w:r>
    </w:p>
    <w:p>
      <w:pPr>
        <w:pStyle w:val="BodyText"/>
      </w:pPr>
      <w:r>
        <w:rPr>
          <w:b/>
          <w:bCs/>
        </w:rPr>
        <w:t xml:space="preserve">Н27. «Мостовые» участники не являются макрообобщающими синтетиками.</w:t>
      </w:r>
      <w:r>
        <w:t xml:space="preserve"> </w:t>
      </w:r>
      <w:r>
        <w:t xml:space="preserve">У авторов</w:t>
      </w:r>
      <w:r>
        <w:t xml:space="preserve"> </w:t>
      </w:r>
      <w:r>
        <w:t xml:space="preserve">перекрестной когорты доля G2/G3 составляет лишь 2.3%, тогда как у участников,</w:t>
      </w:r>
      <w:r>
        <w:t xml:space="preserve"> </w:t>
      </w:r>
      <w:r>
        <w:t xml:space="preserve">видимых только на одной площадке, – 6.5%; различие предварительно значимо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0.0037</m:t>
        </m:r>
      </m:oMath>
      <w:r>
        <w:t xml:space="preserve">). Это важный результат: посредники между площадками связывают</w:t>
      </w:r>
      <w:r>
        <w:t xml:space="preserve"> </w:t>
      </w:r>
      <w:r>
        <w:t xml:space="preserve">поле не за счет больших цивилизационных синтезов, а за счет устойчивых частных</w:t>
      </w:r>
      <w:r>
        <w:t xml:space="preserve"> </w:t>
      </w:r>
      <w:r>
        <w:t xml:space="preserve">специализаций.</w:t>
      </w:r>
    </w:p>
    <w:p>
      <w:pPr>
        <w:pStyle w:val="BodyText"/>
      </w:pPr>
      <w:r>
        <w:rPr>
          <w:b/>
          <w:bCs/>
        </w:rPr>
        <w:t xml:space="preserve">Н28. Зографские чтения чуть терпимее к обобщающим докладам, чем Рериховские,</w:t>
      </w:r>
      <w:r>
        <w:rPr>
          <w:b/>
          <w:bCs/>
        </w:rPr>
        <w:t xml:space="preserve"> </w:t>
      </w:r>
      <w:r>
        <w:rPr>
          <w:b/>
          <w:bCs/>
        </w:rPr>
        <w:t xml:space="preserve">но эффект слабый.</w:t>
      </w:r>
      <w:r>
        <w:t xml:space="preserve"> </w:t>
      </w:r>
      <w:r>
        <w:t xml:space="preserve">Доля G2/G3 на Зографе составляет 31 из 540 докладов (5.7%),</w:t>
      </w:r>
      <w:r>
        <w:t xml:space="preserve"> </w:t>
      </w:r>
      <w:r>
        <w:t xml:space="preserve">на Рериховских – 12 из 355 (3.4%); точный тест дает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0.113</m:t>
        </m:r>
      </m:oMath>
      <w:r>
        <w:t xml:space="preserve">. Это</w:t>
      </w:r>
      <w:r>
        <w:t xml:space="preserve"> </w:t>
      </w:r>
      <w:r>
        <w:t xml:space="preserve">направление различия согласуется с образом Зографа как более широкой площадки, но</w:t>
      </w:r>
      <w:r>
        <w:t xml:space="preserve"> </w:t>
      </w:r>
      <w:r>
        <w:t xml:space="preserve">пока не должно трактоваться как доказанный институциональный фильтр.</w:t>
      </w:r>
    </w:p>
    <w:p>
      <w:pPr>
        <w:pStyle w:val="BodyText"/>
      </w:pPr>
      <w:r>
        <w:rPr>
          <w:b/>
          <w:bCs/>
        </w:rPr>
        <w:t xml:space="preserve">Н29. Рост обобщающих докладов не является линейным историческим трендом.</w:t>
      </w:r>
      <w:r>
        <w:t xml:space="preserve"> </w:t>
      </w:r>
      <w:r>
        <w:t xml:space="preserve">Доля</w:t>
      </w:r>
      <w:r>
        <w:t xml:space="preserve"> </w:t>
      </w:r>
      <w:r>
        <w:t xml:space="preserve">G2/G3 по периодам меняется от 2.8% в 2004–2010 гг. до 4.0% в 2011–2017 гг.,</w:t>
      </w:r>
      <w:r>
        <w:t xml:space="preserve"> </w:t>
      </w:r>
      <w:r>
        <w:t xml:space="preserve">5.7% в 2018–2022 гг. и 4.7% в 2023–2026 гг. Есть умеренный всплеск в среднем</w:t>
      </w:r>
      <w:r>
        <w:t xml:space="preserve"> </w:t>
      </w:r>
      <w:r>
        <w:t xml:space="preserve">периоде, но нет устойчивого движения от микрокейсов к макросинтезу.</w:t>
      </w:r>
    </w:p>
    <w:p>
      <w:pPr>
        <w:pStyle w:val="BodyText"/>
      </w:pPr>
      <w:r>
        <w:rPr>
          <w:b/>
          <w:bCs/>
        </w:rPr>
        <w:t xml:space="preserve">Н30. Видеоархив усиливает видимость микрокейсов, а не синтетических докладов.</w:t>
      </w:r>
      <w:r>
        <w:t xml:space="preserve"> </w:t>
      </w:r>
      <w:r>
        <w:t xml:space="preserve">Среди 82 докладов с прямыми видеоссылками 81 относится к G1, один – к G2 и ни</w:t>
      </w:r>
      <w:r>
        <w:t xml:space="preserve"> </w:t>
      </w:r>
      <w:r>
        <w:t xml:space="preserve">один – к G3. Это не доказывает, что синтетические доклады не записываются, но</w:t>
      </w:r>
      <w:r>
        <w:t xml:space="preserve"> </w:t>
      </w:r>
      <w:r>
        <w:t xml:space="preserve">показывает: доступный медиаслой почти полностью микрокейсовый и потому не является</w:t>
      </w:r>
      <w:r>
        <w:t xml:space="preserve"> </w:t>
      </w:r>
      <w:r>
        <w:t xml:space="preserve">хорошим источником для изучения макрообобщающих жанров.</w:t>
      </w:r>
    </w:p>
    <w:p>
      <w:pPr>
        <w:pStyle w:val="BodyText"/>
      </w:pPr>
      <w:r>
        <w:rPr>
          <w:b/>
          <w:bCs/>
        </w:rPr>
        <w:t xml:space="preserve">Н31. G3-доклады образуют редкий жанр программного или цивилизационного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высказывания.</w:t>
      </w:r>
      <w:r>
        <w:t xml:space="preserve"> </w:t>
      </w:r>
      <w:r>
        <w:t xml:space="preserve">В корпусе всего шесть G3-докладов: о моделях христианского и</w:t>
      </w:r>
      <w:r>
        <w:t xml:space="preserve"> </w:t>
      </w:r>
      <w:r>
        <w:t xml:space="preserve">индо-буддийского времени, мифологиях северных мунда, южноазиатско-африканских</w:t>
      </w:r>
      <w:r>
        <w:t xml:space="preserve"> </w:t>
      </w:r>
      <w:r>
        <w:t xml:space="preserve">связях, индийской эпистемической культуре и Западе, «фейковой индологии» и</w:t>
      </w:r>
      <w:r>
        <w:t xml:space="preserve"> </w:t>
      </w:r>
      <w:r>
        <w:t xml:space="preserve">цивилизационной демаркации Восток–Запад. Их следует анализировать качественно</w:t>
      </w:r>
      <w:r>
        <w:t xml:space="preserve"> </w:t>
      </w:r>
      <w:r>
        <w:t xml:space="preserve">как особый жанр «большой рамки», а не как статистически массовое явление.</w:t>
      </w:r>
    </w:p>
    <w:p>
      <w:pPr>
        <w:pStyle w:val="BodyText"/>
      </w:pPr>
      <w:r>
        <w:rPr>
          <w:b/>
          <w:bCs/>
        </w:rPr>
        <w:t xml:space="preserve">Н32. Ядро не производит больше макрообобщений, чем периферия.</w:t>
      </w:r>
      <w:r>
        <w:t xml:space="preserve"> </w:t>
      </w:r>
      <w:r>
        <w:t xml:space="preserve">У докладов,</w:t>
      </w:r>
      <w:r>
        <w:t xml:space="preserve"> </w:t>
      </w:r>
      <w:r>
        <w:t xml:space="preserve">связанных с авторами ядра, G2/G3 составляет 28 из 653 (4.3%), у периферии – 15</w:t>
      </w:r>
      <w:r>
        <w:t xml:space="preserve"> </w:t>
      </w:r>
      <w:r>
        <w:t xml:space="preserve">из 242 (6.2%);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0.290</m:t>
        </m:r>
      </m:oMath>
      <w:r>
        <w:t xml:space="preserve">). Это не поддерживает</w:t>
      </w:r>
      <w:r>
        <w:t xml:space="preserve"> </w:t>
      </w:r>
      <w:r>
        <w:t xml:space="preserve">интуицию, что накопленный статус автоматически ведет к более широкому масштабу</w:t>
      </w:r>
      <w:r>
        <w:t xml:space="preserve"> </w:t>
      </w:r>
      <w:r>
        <w:t xml:space="preserve">обобщения.</w:t>
      </w:r>
    </w:p>
    <w:p>
      <w:pPr>
        <w:pStyle w:val="BodyText"/>
      </w:pPr>
      <w:r>
        <w:rPr>
          <w:b/>
          <w:bCs/>
        </w:rPr>
        <w:t xml:space="preserve">Н33. Дебютанты не входят через более узкие темы, чем повторные участники.</w:t>
      </w:r>
      <w:r>
        <w:t xml:space="preserve"> </w:t>
      </w:r>
      <w:r>
        <w:t xml:space="preserve">Среди</w:t>
      </w:r>
      <w:r>
        <w:t xml:space="preserve"> </w:t>
      </w:r>
      <w:r>
        <w:t xml:space="preserve">дебютных докладов G2/G3 составляет 10 из 174 (5.7%), среди повторных – 33 из 721</w:t>
      </w:r>
      <w:r>
        <w:t xml:space="preserve"> </w:t>
      </w:r>
      <w:r>
        <w:t xml:space="preserve">(4.6%);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0.553</m:t>
        </m:r>
      </m:oMath>
      <w:r>
        <w:t xml:space="preserve">). Следовательно, микрокейсовость не</w:t>
      </w:r>
      <w:r>
        <w:t xml:space="preserve"> </w:t>
      </w:r>
      <w:r>
        <w:t xml:space="preserve">является особым входным барьером для новичков: она задает общий стиль поля.</w:t>
      </w:r>
    </w:p>
    <w:p>
      <w:pPr>
        <w:pStyle w:val="BodyText"/>
      </w:pPr>
      <w:r>
        <w:rPr>
          <w:b/>
          <w:bCs/>
        </w:rPr>
        <w:t xml:space="preserve">Н34. Дисциплины различаются по допустимому масштабу обобщения.</w:t>
      </w:r>
      <w:r>
        <w:t xml:space="preserve"> </w:t>
      </w:r>
      <w:r>
        <w:t xml:space="preserve">На текущей</w:t>
      </w:r>
      <w:r>
        <w:t xml:space="preserve"> </w:t>
      </w:r>
      <w:r>
        <w:t xml:space="preserve">крупной тематической сетке лингвистика/филология почти полностью микрокейсова</w:t>
      </w:r>
      <w:r>
        <w:t xml:space="preserve"> </w:t>
      </w:r>
      <w:r>
        <w:t xml:space="preserve">(G1 – 124 из 125 докладов), тогда как история культуры и неклассифицированные</w:t>
      </w:r>
      <w:r>
        <w:t xml:space="preserve"> </w:t>
      </w:r>
      <w:r>
        <w:t xml:space="preserve">междисциплинарные сюжеты чаще дают G2. Литература содержит три из шести G3-докладов.</w:t>
      </w:r>
      <w:r>
        <w:t xml:space="preserve"> </w:t>
      </w:r>
      <w:r>
        <w:t xml:space="preserve">Эта гипотеза требует дальнейшей проверки на более детальных подрубриках, но уже</w:t>
      </w:r>
      <w:r>
        <w:t xml:space="preserve"> </w:t>
      </w:r>
      <w:r>
        <w:t xml:space="preserve">показывает, что масштаб обобщения зависит от дисциплинарного жанра.</w:t>
      </w:r>
    </w:p>
    <w:p>
      <w:pPr>
        <w:pStyle w:val="BodyText"/>
      </w:pPr>
      <w:r>
        <w:rPr>
          <w:b/>
          <w:bCs/>
        </w:rPr>
        <w:t xml:space="preserve">Н35. Обобщающие доклады допускаются прежде всего как голос старшего поколения,</w:t>
      </w:r>
      <w:r>
        <w:rPr>
          <w:b/>
          <w:bCs/>
        </w:rPr>
        <w:t xml:space="preserve"> </w:t>
      </w:r>
      <w:r>
        <w:rPr>
          <w:b/>
          <w:bCs/>
        </w:rPr>
        <w:t xml:space="preserve">особенно на уровне G3.</w:t>
      </w:r>
      <w:r>
        <w:t xml:space="preserve"> </w:t>
      </w:r>
      <w:r>
        <w:t xml:space="preserve">Для всех G2/G3 вместе возрастной эффект умеренный: медиана</w:t>
      </w:r>
      <w:r>
        <w:t xml:space="preserve"> </w:t>
      </w:r>
      <w:r>
        <w:t xml:space="preserve">возраста авторского участия составляет 50 лет против 45 лет у G1, а тест Манна–Уитни</w:t>
      </w:r>
      <w:r>
        <w:t xml:space="preserve"> </w:t>
      </w:r>
      <w:r>
        <w:t xml:space="preserve">дает лишь тенденцию (</w:t>
      </w:r>
      <m:oMath>
        <m:r>
          <m:t>p</m:t>
        </m:r>
        <m:r>
          <m:rPr>
            <m:sty m:val="p"/>
          </m:rPr>
          <m:t>≈</m:t>
        </m:r>
        <m:r>
          <m:t>0.066</m:t>
        </m:r>
      </m:oMath>
      <w:r>
        <w:t xml:space="preserve">). Но для редкого уровня G3 картина сильнее:</w:t>
      </w:r>
      <w:r>
        <w:t xml:space="preserve"> </w:t>
      </w:r>
      <w:r>
        <w:t xml:space="preserve">медианный возраст автора – 66 лет, 4 из 6 G3-докладов сделаны участниками старше</w:t>
      </w:r>
      <w:r>
        <w:t xml:space="preserve"> </w:t>
      </w:r>
      <w:r>
        <w:t xml:space="preserve">60 лет. Поэтому гипотеза формулируется так: широкое цивилизационное обобщение не</w:t>
      </w:r>
      <w:r>
        <w:t xml:space="preserve"> </w:t>
      </w:r>
      <w:r>
        <w:t xml:space="preserve">запрещено полностью, но в наблюдаемом корпусе оно появляется главным образом как</w:t>
      </w:r>
      <w:r>
        <w:t xml:space="preserve"> </w:t>
      </w:r>
      <w:r>
        <w:t xml:space="preserve">жанр признанного старшего или уже авторитетного голоса, тогда как базовой нормой</w:t>
      </w:r>
      <w:r>
        <w:t xml:space="preserve"> </w:t>
      </w:r>
      <w:r>
        <w:t xml:space="preserve">для поля остается микрокейс.</w:t>
      </w:r>
    </w:p>
    <w:p>
      <w:pPr>
        <w:pStyle w:val="BodyText"/>
      </w:pPr>
      <w:r>
        <w:t xml:space="preserve">Таким образом, Н11–Н35 расширяют основную аргументацию статьи в сторону критики</w:t>
      </w:r>
      <w:r>
        <w:t xml:space="preserve"> </w:t>
      </w:r>
      <w:r>
        <w:t xml:space="preserve">источника и жанра. Они показывают, что корпус содержит не только данные о людях и</w:t>
      </w:r>
      <w:r>
        <w:t xml:space="preserve"> </w:t>
      </w:r>
      <w:r>
        <w:t xml:space="preserve">темах, но и следы разных режимов публичной репрезентации: программы по-разному</w:t>
      </w:r>
      <w:r>
        <w:t xml:space="preserve"> </w:t>
      </w:r>
      <w:r>
        <w:t xml:space="preserve">показывают аффилиации, видеозаписи неравномерно распределяют видимость, микрокейсы</w:t>
      </w:r>
      <w:r>
        <w:t xml:space="preserve"> </w:t>
      </w:r>
      <w:r>
        <w:t xml:space="preserve">являются нормативным форматом доклада, а редкие обобщения чаще связаны с особым</w:t>
      </w:r>
      <w:r>
        <w:t xml:space="preserve"> </w:t>
      </w:r>
      <w:r>
        <w:t xml:space="preserve">статусом, дисциплиной и поколенческой позицией автора.</w:t>
      </w:r>
    </w:p>
    <w:bookmarkEnd w:id="61"/>
    <w:bookmarkEnd w:id="62"/>
    <w:bookmarkStart w:id="63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двадцати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пока не показывает статистически значимого изменения кадровой или тематической политики.</w:t>
      </w:r>
      <w:r>
        <w:t xml:space="preserve"> </w:t>
      </w:r>
      <w:r>
        <w:t xml:space="preserve">Приток новых авторов (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 и распределение периодов L2 (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 значимых изменений не претерпели. Описательное снижение доли классического периода с 37.6% до 26.3% требует наблюдения на следующих программах, поскольку текущий переходный срез слишком короток.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низка; при этом относительная доля у периферии выше, чем у ядра (5.7% против 2.6%,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что опровергает сильную версию гипотезы о большей склонности ядра к дроблению тем.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0.276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Онлайн-эпизод 2020 г. не создал отдельной устойчивой когорты.</w:t>
      </w:r>
      <w:r>
        <w:t xml:space="preserve"> </w:t>
      </w:r>
      <w:r>
        <w:t xml:space="preserve">Возвращаемость дебютантов 2020 г. не выше, чем у соседних лет; это поддерживает вывод о том, что долговременное включение в поле определяется не только технической доступностью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Ядро и перекрестная когорта не являются автоматическими носителями макрообобщения.</w:t>
      </w:r>
      <w:r>
        <w:t xml:space="preserve"> </w:t>
      </w:r>
      <w:r>
        <w:t xml:space="preserve">Наоборот, перекрестные участники чаще удерживают частные специализации, а доля G2/G3 у них ниже, чем у одноплощадочных участников. Мостовая функция поля обеспечивается не большими синтезами, а устойчивостью личных исследовательских траекторий.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Гумилевская шкала задает отдельную ось анализа, не сводимую к тематическим кодам.</w:t>
      </w:r>
      <w:r>
        <w:t xml:space="preserve"> </w:t>
      </w:r>
      <w:r>
        <w:t xml:space="preserve">Она показывает не «о чем» доклад, а на каком масштабе он говорит: микрокейс, региональная традиция или широкое сравнение. В этом смысле она выявляет жанровую норму поля лучше, чем обычная дисциплинарная рубрика.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Широкое обобщение остается редким и поколенчески маркированным жанром.</w:t>
      </w:r>
      <w:r>
        <w:t xml:space="preserve"> </w:t>
      </w:r>
      <w:r>
        <w:t xml:space="preserve">G3 почти не встречается и чаще принадлежит старшим или уже авторитетным участникам. Поэтому микрокейс не просто допустим, а фактически приветствуется как нормальный формат выступления, тогда как большое обобщение оказывается исключительным правом особого голоса.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показала низкую общую долю сериализованных докладов и не поддержала версию о повышенной склонности ядра к дроблению тем: относительная доля сериализации выше у периферии, тогда как абсолютное число таких случаев слабо связано с общим объемом выступлений автора.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Смена оргкомитета как отрицательный контроль (Н8).</w:t>
      </w:r>
      <w:r>
        <w:t xml:space="preserve"> </w:t>
      </w:r>
      <w:r>
        <w:t xml:space="preserve">После пересчета смена руководства оргкомитета не показывает статистически значимого изменения притока новичков, дисциплинарного профиля L1 или распределения периодов L2. Поэтому этот сюжет лучше использовать как визуализацию осторожного вывода: административная смена заметна в описании программ, но текущие числа не доказывают ни кадрового обновления, ни тематического перелома.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3"/>
    <w:bookmarkStart w:id="64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4"/>
    <w:bookmarkStart w:id="65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5"/>
    <w:bookmarkStart w:id="66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6"/>
    <w:bookmarkStart w:id="67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7"/>
    <w:bookmarkStart w:id="72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8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8"/>
    <w:bookmarkStart w:id="69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9"/>
    <w:bookmarkStart w:id="70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70"/>
    <w:bookmarkStart w:id="71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71"/>
    <w:bookmarkEnd w:id="72"/>
    <w:bookmarkStart w:id="84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6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4" name="Picture"/>
            <a:graphic>
              <a:graphicData uri="http://schemas.openxmlformats.org/drawingml/2006/picture">
                <pic:pic>
                  <pic:nvPicPr>
                    <pic:cNvPr descr="hypothesis_output/null_model_overl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6"/>
    <w:bookmarkStart w:id="77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7"/>
    <w:bookmarkStart w:id="81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9" name="Picture"/>
            <a:graphic>
              <a:graphicData uri="http://schemas.openxmlformats.org/drawingml/2006/picture">
                <pic:pic>
                  <pic:nvPicPr>
                    <pic:cNvPr descr="hypothesis_output/km_reten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81"/>
    <w:bookmarkStart w:id="82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82"/>
    <w:bookmarkStart w:id="83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2026-06-02T15:37:31Z</dcterms:created>
  <dcterms:modified xsi:type="dcterms:W3CDTF">2026-06-02T15:37:31Z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