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sz w:val="28"/>
        </w:rPr>
        <w:t xml:space="preserve">УДК 061.3:001.32(470:540)</w:t>
      </w:r>
    </w:p>
    <w:bookmarkStart w:id="20" w:name="X5c8f8910da7320809f983eee1232ca7ab9fd338"/>
    <w:p>
      <w:pPr>
        <w:pStyle w:val="Heading1"/>
      </w:pPr>
      <w:r>
        <w:rPr>
          <w:rFonts w:ascii="Times New Roman" w:hAnsi="Times New Roman"/>
          <w:sz w:val="28"/>
        </w:rPr>
        <w:t xml:space="preserve">Две конференционные среды российской индологии: Зографские и Рериховские чтения, 2004-2026</w:t>
      </w:r>
    </w:p>
    <w:p>
      <w:pPr>
        <w:pStyle w:val="FirstParagraph"/>
      </w:pPr>
      <w:r>
        <w:rPr>
          <w:rFonts w:ascii="Times New Roman" w:hAnsi="Times New Roman"/>
          <w:b/>
          <w:bCs/>
          <w:sz w:val="28"/>
        </w:rPr>
        <w:t xml:space="preserve">Two Conference Milieus of Russian Indology: The Zograf and Roerich Readings, 2004-2026</w:t>
      </w:r>
    </w:p>
    <w:p>
      <w:pPr>
        <w:pStyle w:val="BodyText"/>
      </w:pPr>
      <w:r>
        <w:rPr>
          <w:rFonts w:ascii="Times New Roman" w:hAnsi="Times New Roman"/>
          <w:b/>
          <w:bCs/>
          <w:sz w:val="28"/>
        </w:rPr>
        <w:t xml:space="preserve">Гасунс Марцис Юрьевич</w:t>
      </w:r>
      <w:r>
        <w:rPr>
          <w:rFonts w:ascii="Times New Roman" w:hAnsi="Times New Roman"/>
          <w:sz w:val="28"/>
        </w:rPr>
        <w:br/>
      </w:r>
      <w:r>
        <w:rPr>
          <w:rFonts w:ascii="Times New Roman" w:hAnsi="Times New Roman"/>
          <w:sz w:val="28"/>
        </w:rPr>
        <w:t xml:space="preserve">независимый исследователь; ученая степень, звание: ____; должность: независимый исследователь; место работы: независимый исследователь; рабочий адрес: ____, Москва, Россия; e-mail: gasyoun@gmail.com; ORCID: ____.</w:t>
      </w:r>
    </w:p>
    <w:p>
      <w:pPr>
        <w:pStyle w:val="BodyText"/>
      </w:pPr>
      <w:r>
        <w:rPr>
          <w:rFonts w:ascii="Times New Roman" w:hAnsi="Times New Roman"/>
          <w:b/>
          <w:bCs/>
          <w:sz w:val="28"/>
        </w:rPr>
        <w:t xml:space="preserve">Gasūns Marcis Yurievich</w:t>
      </w:r>
      <w:r>
        <w:rPr>
          <w:rFonts w:ascii="Times New Roman" w:hAnsi="Times New Roman"/>
          <w:sz w:val="28"/>
        </w:rPr>
        <w:br/>
      </w:r>
      <w:r>
        <w:rPr>
          <w:rFonts w:ascii="Times New Roman" w:hAnsi="Times New Roman"/>
          <w:sz w:val="28"/>
        </w:rPr>
        <w:t xml:space="preserve">independent researcher; academic degree and title: ____; position: independent researcher; affiliation: independent researcher; postal address: ____, Moscow, Russia; e-mail: gasyoun@gmail.com; ORCID: ____.</w:t>
      </w:r>
    </w:p>
    <w:bookmarkStart w:id="9" w:name="аннотация"/>
    <w:p>
      <w:pPr>
        <w:pStyle w:val="Heading2"/>
      </w:pPr>
      <w:r>
        <w:rPr>
          <w:rFonts w:ascii="Times New Roman" w:hAnsi="Times New Roman"/>
          <w:sz w:val="28"/>
        </w:rPr>
        <w:t xml:space="preserve">Аннотация</w:t>
      </w:r>
    </w:p>
    <w:p>
      <w:pPr>
        <w:pStyle w:val="FirstParagraph"/>
      </w:pPr>
      <w:r>
        <w:rPr>
          <w:rFonts w:ascii="Times New Roman" w:hAnsi="Times New Roman"/>
          <w:sz w:val="28"/>
        </w:rPr>
        <w:t xml:space="preserve">Статья анализирует публично наблюдаемую конференционную жизнь российской индологии на материале двух долговременных чтений: Зографских (Санкт-Петербург) и Рериховских (Москва). Корпус включает 895 докладов, 899 авторских участий и 220 ученых за 2004-2026 гг.; программа Зографских чтений 2026 г. учитывается как предварительная. Проверяются три вопроса: насколько две площадки пересекаются по участникам, различаются ли их тематические профили и какой масштаб обобщения преобладает в докладах. Главный результат состоит в неожиданно слабом пересечении: на обеих площадках выступали только 38 ученых, тогда как перестановочная нулевая модель при сохранении индивидуальной активности ожидает около 104. Тематически Рериховские чтения сильнее концентрируются на классическом и средневековом периодах, а Зографские сохраняют более широкий хронологический разброс. Дополнительная шкала обобщения показывает, что 852 из 895 докладов являются микрокейсами; широкие синтетические обобщения крайне редки.</w:t>
      </w:r>
    </w:p>
    <w:p>
      <w:pPr>
        <w:pStyle w:val="BodyText"/>
      </w:pPr>
      <w:r>
        <w:rPr>
          <w:rFonts w:ascii="Times New Roman" w:hAnsi="Times New Roman"/>
          <w:b/>
          <w:bCs/>
          <w:sz w:val="28"/>
        </w:rPr>
        <w:t xml:space="preserve">Ключевые слова:</w:t>
      </w:r>
      <w:r>
        <w:rPr>
          <w:rFonts w:ascii="Times New Roman" w:hAnsi="Times New Roman"/>
          <w:sz w:val="28"/>
        </w:rPr>
        <w:t xml:space="preserve"> </w:t>
      </w:r>
      <w:r>
        <w:rPr>
          <w:rFonts w:ascii="Times New Roman" w:hAnsi="Times New Roman"/>
          <w:sz w:val="28"/>
        </w:rPr>
        <w:t xml:space="preserve">российская индология, Зографские чтения, Рериховские чтения, просопография, конференционные программы, тематическая классификация, микрокейсы, цифровые гуманитарные науки.</w:t>
      </w:r>
    </w:p>
    <w:bookmarkEnd w:id="9"/>
    <w:bookmarkStart w:id="10" w:name="abstract"/>
    <w:p>
      <w:pPr>
        <w:pStyle w:val="Heading2"/>
      </w:pPr>
      <w:r>
        <w:rPr>
          <w:rFonts w:ascii="Times New Roman" w:hAnsi="Times New Roman"/>
          <w:sz w:val="28"/>
        </w:rPr>
        <w:t xml:space="preserve">Abstract</w:t>
      </w:r>
    </w:p>
    <w:p>
      <w:pPr>
        <w:pStyle w:val="FirstParagraph"/>
      </w:pPr>
      <w:r>
        <w:rPr>
          <w:rFonts w:ascii="Times New Roman" w:hAnsi="Times New Roman"/>
          <w:sz w:val="28"/>
        </w:rPr>
        <w:t xml:space="preserve">The article examines the publicly observable conference life of Russian Indology through two long-running venues: the Zograf Readings in St. Petersburg and the Roerich Readings in Moscow. The corpus contains 895 presentations, 899 author participations, and 220 scholars for 2004-2026; the 2026 Zograf programme is treated as preliminary. The study asks how strongly the two venues overlap, whether their thematic profiles differ, and what scale of scholarly generalisation dominates the presentations. The main finding is the unexpectedly weak overlap: only 38 scholars appeared at both venues, whereas an activity-preserving permutation model would expect about 104. The Roerich Readings concentrate more heavily on classical and medieval topics, while the Zograf Readings preserve a broader chronological range. A separate scale of generalisation shows that 852 of 895 presentations are micro-case studies; broad synthetic generalisations are rare.</w:t>
      </w:r>
    </w:p>
    <w:p>
      <w:pPr>
        <w:pStyle w:val="BodyText"/>
      </w:pPr>
      <w:r>
        <w:rPr>
          <w:rFonts w:ascii="Times New Roman" w:hAnsi="Times New Roman"/>
          <w:b/>
          <w:bCs/>
          <w:sz w:val="28"/>
        </w:rPr>
        <w:t xml:space="preserve">Keywords:</w:t>
      </w:r>
      <w:r>
        <w:rPr>
          <w:rFonts w:ascii="Times New Roman" w:hAnsi="Times New Roman"/>
          <w:sz w:val="28"/>
        </w:rPr>
        <w:t xml:space="preserve"> </w:t>
      </w:r>
      <w:r>
        <w:rPr>
          <w:rFonts w:ascii="Times New Roman" w:hAnsi="Times New Roman"/>
          <w:sz w:val="28"/>
        </w:rPr>
        <w:t xml:space="preserve">Russian Indology, Zograf Readings, Roerich Readings, prosopography, conference programmes, thematic classification, micro-cases, digital humanities.</w:t>
      </w:r>
    </w:p>
    <w:bookmarkEnd w:id="10"/>
    <w:bookmarkStart w:id="11" w:name="постановка-задачи"/>
    <w:p>
      <w:pPr>
        <w:pStyle w:val="Heading2"/>
      </w:pPr>
      <w:r>
        <w:rPr>
          <w:rFonts w:ascii="Times New Roman" w:hAnsi="Times New Roman"/>
          <w:sz w:val="28"/>
        </w:rPr>
        <w:t xml:space="preserve">1. Постановка задачи</w:t>
      </w:r>
    </w:p>
    <w:p>
      <w:pPr>
        <w:pStyle w:val="FirstParagraph"/>
      </w:pPr>
      <w:r>
        <w:rPr>
          <w:rFonts w:ascii="Times New Roman" w:hAnsi="Times New Roman"/>
          <w:sz w:val="28"/>
        </w:rPr>
        <w:t xml:space="preserve">Зографские чтения в Санкт-Петербурге и Рериховские чтения в Москве являются двумя наиболее устойчивыми публичными площадками, на которых российская индология в последние десятилетия регулярно предъявляет себя в форме открытой конференционной программы. Это не означает, что они исчерпывают институциональную жизнь дисциплины: вне корпуса остаются кафедры, семинары, диссертационные советы, журналы, экспедиции, переводы и неформальные исследовательские кружки. Поэтому предмет статьи сформулирован уже: речь идет о публично наблюдаемой конференционной индологии, реконструируемой по опубликованным программам.</w:t>
      </w:r>
    </w:p>
    <w:p>
      <w:pPr>
        <w:pStyle w:val="BodyText"/>
      </w:pPr>
      <w:r>
        <w:rPr>
          <w:rFonts w:ascii="Times New Roman" w:hAnsi="Times New Roman"/>
          <w:sz w:val="28"/>
        </w:rPr>
        <w:t xml:space="preserve">Такой источник одновременно удобен и ограничен. Он позволяет видеть доклады, годы участия, составы секций, город или учреждение автора, но не фиксирует заявки, отказы, устные обсуждения и реальные биографические траектории за пределами программы. Отсюда главный методический вопрос: что именно можно утверждать на основе программ двух чтений, не превращая источник в свидетельство того, чего в нем нет?</w:t>
      </w:r>
    </w:p>
    <w:p>
      <w:pPr>
        <w:pStyle w:val="BodyText"/>
      </w:pPr>
      <w:r>
        <w:rPr>
          <w:rFonts w:ascii="Times New Roman" w:hAnsi="Times New Roman"/>
          <w:sz w:val="28"/>
        </w:rPr>
        <w:t xml:space="preserve">В статье проверяются три группы гипотез. Первая касается социальной структуры: являются ли две площадки частями единого поля или двумя относительно обособленными конференционными средами. Вторая касается тематического профиля: различаются ли чтения по дисциплинам и историческим периодам. Третья касается жанра доклада: преобладают ли в корпусе широкие синтетические обобщения или микрокейсы, построенные вокруг отдельного текста, автора, термина или источника.</w:t>
      </w:r>
    </w:p>
    <w:bookmarkEnd w:id="11"/>
    <w:bookmarkStart w:id="12" w:name="корпус-и-метод"/>
    <w:p>
      <w:pPr>
        <w:pStyle w:val="Heading2"/>
      </w:pPr>
      <w:r>
        <w:rPr>
          <w:rFonts w:ascii="Times New Roman" w:hAnsi="Times New Roman"/>
          <w:sz w:val="28"/>
        </w:rPr>
        <w:t xml:space="preserve">2. Корпус и метод</w:t>
      </w:r>
    </w:p>
    <w:p>
      <w:pPr>
        <w:pStyle w:val="FirstParagraph"/>
      </w:pPr>
      <w:r>
        <w:rPr>
          <w:rFonts w:ascii="Times New Roman" w:hAnsi="Times New Roman"/>
          <w:sz w:val="28"/>
        </w:rPr>
        <w:t xml:space="preserve">Материалом служит нормализованная реляционная база, собранная по опубликованным программам Зографских и Рериховских чтений. В нее включены 40 событийных записей, из которых 30 имеют извлеченные доклады. Фактическое покрытие составляет 20 программных лет внутри диапазона 2004-2026 гг. В корпус вошли 220 уникальных ученых, 895 уникальных докладов и 899 авторских участий. Различие между докладом и авторским участием важно: четыре доклада имеют более одного автора, поэтому карточек участия немного больше, чем докладов.</w:t>
      </w:r>
    </w:p>
    <w:p>
      <w:pPr>
        <w:pStyle w:val="BodyText"/>
      </w:pPr>
      <w:r>
        <w:rPr>
          <w:rFonts w:ascii="Times New Roman" w:hAnsi="Times New Roman"/>
          <w:sz w:val="28"/>
        </w:rPr>
        <w:t xml:space="preserve">Программа XLVII Зографских чтений 2026 г. включена как предварительная публикация: 58 заявленных докладов и 60 участников. Все показатели возвращаемости и удержания интерпретируются с учетом правого цензурирования: участники 2026 г. еще не имели возможности вернуться в последующие годы.</w:t>
      </w:r>
    </w:p>
    <w:p>
      <w:pPr>
        <w:pStyle w:val="BodyText"/>
      </w:pPr>
      <w:r>
        <w:rPr>
          <w:rFonts w:ascii="Times New Roman" w:hAnsi="Times New Roman"/>
          <w:sz w:val="28"/>
        </w:rPr>
        <w:t xml:space="preserve">Идентификация участников выполнялась через нормализацию вариантов имени и ручное разрешение спорных случаев. Для каждого доклада использованы две независимые классификации. Первая тематическая: дисциплина (L1), историко-культурный период (L2), материал и характер исследования. Вторая навигационная: шкала масштаба обобщения G1-G3. G1 означает микрокейс (отдельный текст, автор, источник, термин, локальный сюжет), G2 - региональную традицию, школу, жанр или устойчивую историко-культурную линию, G3 - широкое сравнительное, цивилизационное или методологическое обобщение.</w:t>
      </w:r>
    </w:p>
    <w:p>
      <w:pPr>
        <w:pStyle w:val="BodyText"/>
      </w:pPr>
      <w:r>
        <w:rPr>
          <w:rFonts w:ascii="Times New Roman" w:hAnsi="Times New Roman"/>
          <w:sz w:val="28"/>
        </w:rPr>
        <w:t xml:space="preserve">Для оценки пересечения площадок используется перестановочная нулевая модель с сохранением индивидуальной активности: каждое авторское участие сохраняет связь с конкретным ученым, но метка площадки случайно перераспределяется при сохранении общего объема Зографских и Рериховских чтений. Метрики концентрации и удержания трактуются описательно; для долей используются точный критерий Фишера и бутстреп-доверительные интервалы там, где это необходимо (Fisher 1925; Efron 1979). Индекс Джини применяется как мера неравномерности распределения докладов между участниками (Gini 1912). Просопографический подход понимается в широком смысле как количественная реконструкция группы по повторяющимся биографическим и событийным признакам (Stone 1971); цифровая публикация данных продолжает практику воспроизводимых гуманитарных корпусов (Schreibman et al. 2004).</w:t>
      </w:r>
    </w:p>
    <w:bookmarkEnd w:id="12"/>
    <w:bookmarkStart w:id="13" w:name="масштаб-и-структура-участия"/>
    <w:p>
      <w:pPr>
        <w:pStyle w:val="Heading2"/>
      </w:pPr>
      <w:r>
        <w:rPr>
          <w:rFonts w:ascii="Times New Roman" w:hAnsi="Times New Roman"/>
          <w:sz w:val="28"/>
        </w:rPr>
        <w:t xml:space="preserve">3. Масштаб и структура участия</w:t>
      </w:r>
    </w:p>
    <w:p>
      <w:pPr>
        <w:pStyle w:val="FirstParagraph"/>
      </w:pPr>
      <w:r>
        <w:rPr>
          <w:rFonts w:ascii="Times New Roman" w:hAnsi="Times New Roman"/>
          <w:sz w:val="28"/>
        </w:rPr>
        <w:t xml:space="preserve">Общий корпус асимметричен по объему: Зографские чтения дают 540 докладов, Рериховские - 355. По уникальным участникам различие еще сильнее: 167 ученых видимы на Зографских чтениях и 91 - на Рериховских. При этом суммарное число уникальных ученых не равно 258, поскольку 38 человек выступали на обеих площадках.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sz w:val="28"/>
              </w:rPr>
              <w:t xml:space="preserve">Показатель</w:t>
            </w:r>
          </w:p>
        </w:tc>
        <w:tc>
          <w:tcPr/>
          <w:p>
            <w:pPr>
              <w:pStyle w:val="Compact"/>
              <w:jc w:val="right"/>
            </w:pPr>
            <w:r>
              <w:rPr>
                <w:rFonts w:ascii="Times New Roman" w:hAnsi="Times New Roman"/>
                <w:sz w:val="28"/>
              </w:rPr>
              <w:t xml:space="preserve">Зографские чтения</w:t>
            </w:r>
          </w:p>
        </w:tc>
        <w:tc>
          <w:tcPr/>
          <w:p>
            <w:pPr>
              <w:pStyle w:val="Compact"/>
              <w:jc w:val="right"/>
            </w:pPr>
            <w:r>
              <w:rPr>
                <w:rFonts w:ascii="Times New Roman" w:hAnsi="Times New Roman"/>
                <w:sz w:val="28"/>
              </w:rPr>
              <w:t xml:space="preserve">Рериховские чтения</w:t>
            </w:r>
          </w:p>
        </w:tc>
        <w:tc>
          <w:tcPr/>
          <w:p>
            <w:pPr>
              <w:pStyle w:val="Compact"/>
              <w:jc w:val="right"/>
            </w:pPr>
            <w:r>
              <w:rPr>
                <w:rFonts w:ascii="Times New Roman" w:hAnsi="Times New Roman"/>
                <w:sz w:val="28"/>
              </w:rPr>
              <w:t xml:space="preserve">Всего</w:t>
            </w:r>
          </w:p>
        </w:tc>
      </w:tr>
      <w:tr>
        <w:tc>
          <w:tcPr/>
          <w:p>
            <w:pPr>
              <w:pStyle w:val="Compact"/>
            </w:pPr>
            <w:r>
              <w:rPr>
                <w:rFonts w:ascii="Times New Roman" w:hAnsi="Times New Roman"/>
                <w:sz w:val="28"/>
              </w:rPr>
              <w:t xml:space="preserve">Уникальные ученые</w:t>
            </w:r>
          </w:p>
        </w:tc>
        <w:tc>
          <w:tcPr/>
          <w:p>
            <w:pPr>
              <w:pStyle w:val="Compact"/>
              <w:jc w:val="right"/>
            </w:pPr>
            <w:r>
              <w:rPr>
                <w:rFonts w:ascii="Times New Roman" w:hAnsi="Times New Roman"/>
                <w:sz w:val="28"/>
              </w:rPr>
              <w:t xml:space="preserve">167</w:t>
            </w:r>
          </w:p>
        </w:tc>
        <w:tc>
          <w:tcPr/>
          <w:p>
            <w:pPr>
              <w:pStyle w:val="Compact"/>
              <w:jc w:val="right"/>
            </w:pPr>
            <w:r>
              <w:rPr>
                <w:rFonts w:ascii="Times New Roman" w:hAnsi="Times New Roman"/>
                <w:sz w:val="28"/>
              </w:rPr>
              <w:t xml:space="preserve">91</w:t>
            </w:r>
          </w:p>
        </w:tc>
        <w:tc>
          <w:tcPr/>
          <w:p>
            <w:pPr>
              <w:pStyle w:val="Compact"/>
              <w:jc w:val="right"/>
            </w:pPr>
            <w:r>
              <w:rPr>
                <w:rFonts w:ascii="Times New Roman" w:hAnsi="Times New Roman"/>
                <w:sz w:val="28"/>
              </w:rPr>
              <w:t xml:space="preserve">220</w:t>
            </w:r>
          </w:p>
        </w:tc>
      </w:tr>
      <w:tr>
        <w:tc>
          <w:tcPr/>
          <w:p>
            <w:pPr>
              <w:pStyle w:val="Compact"/>
            </w:pPr>
            <w:r>
              <w:rPr>
                <w:rFonts w:ascii="Times New Roman" w:hAnsi="Times New Roman"/>
                <w:sz w:val="28"/>
              </w:rPr>
              <w:t xml:space="preserve">Уникальные доклады</w:t>
            </w:r>
          </w:p>
        </w:tc>
        <w:tc>
          <w:tcPr/>
          <w:p>
            <w:pPr>
              <w:pStyle w:val="Compact"/>
              <w:jc w:val="right"/>
            </w:pPr>
            <w:r>
              <w:rPr>
                <w:rFonts w:ascii="Times New Roman" w:hAnsi="Times New Roman"/>
                <w:sz w:val="28"/>
              </w:rPr>
              <w:t xml:space="preserve">540</w:t>
            </w:r>
          </w:p>
        </w:tc>
        <w:tc>
          <w:tcPr/>
          <w:p>
            <w:pPr>
              <w:pStyle w:val="Compact"/>
              <w:jc w:val="right"/>
            </w:pPr>
            <w:r>
              <w:rPr>
                <w:rFonts w:ascii="Times New Roman" w:hAnsi="Times New Roman"/>
                <w:sz w:val="28"/>
              </w:rPr>
              <w:t xml:space="preserve">355</w:t>
            </w:r>
          </w:p>
        </w:tc>
        <w:tc>
          <w:tcPr/>
          <w:p>
            <w:pPr>
              <w:pStyle w:val="Compact"/>
              <w:jc w:val="right"/>
            </w:pPr>
            <w:r>
              <w:rPr>
                <w:rFonts w:ascii="Times New Roman" w:hAnsi="Times New Roman"/>
                <w:sz w:val="28"/>
              </w:rPr>
              <w:t xml:space="preserve">895</w:t>
            </w:r>
          </w:p>
        </w:tc>
      </w:tr>
      <w:tr>
        <w:tc>
          <w:tcPr/>
          <w:p>
            <w:pPr>
              <w:pStyle w:val="Compact"/>
            </w:pPr>
            <w:r>
              <w:rPr>
                <w:rFonts w:ascii="Times New Roman" w:hAnsi="Times New Roman"/>
                <w:sz w:val="28"/>
              </w:rPr>
              <w:t xml:space="preserve">Авторские участия</w:t>
            </w:r>
          </w:p>
        </w:tc>
        <w:tc>
          <w:tcPr/>
          <w:p>
            <w:pPr>
              <w:pStyle w:val="Compact"/>
              <w:jc w:val="right"/>
            </w:pPr>
            <w:r>
              <w:rPr>
                <w:rFonts w:ascii="Times New Roman" w:hAnsi="Times New Roman"/>
                <w:sz w:val="28"/>
              </w:rPr>
              <w:t xml:space="preserve">544</w:t>
            </w:r>
          </w:p>
        </w:tc>
        <w:tc>
          <w:tcPr/>
          <w:p>
            <w:pPr>
              <w:pStyle w:val="Compact"/>
              <w:jc w:val="right"/>
            </w:pPr>
            <w:r>
              <w:rPr>
                <w:rFonts w:ascii="Times New Roman" w:hAnsi="Times New Roman"/>
                <w:sz w:val="28"/>
              </w:rPr>
              <w:t xml:space="preserve">355</w:t>
            </w:r>
          </w:p>
        </w:tc>
        <w:tc>
          <w:tcPr/>
          <w:p>
            <w:pPr>
              <w:pStyle w:val="Compact"/>
              <w:jc w:val="right"/>
            </w:pPr>
            <w:r>
              <w:rPr>
                <w:rFonts w:ascii="Times New Roman" w:hAnsi="Times New Roman"/>
                <w:sz w:val="28"/>
              </w:rPr>
              <w:t xml:space="preserve">899</w:t>
            </w:r>
          </w:p>
        </w:tc>
      </w:tr>
      <w:tr>
        <w:tc>
          <w:tcPr/>
          <w:p>
            <w:pPr>
              <w:pStyle w:val="Compact"/>
            </w:pPr>
            <w:r>
              <w:rPr>
                <w:rFonts w:ascii="Times New Roman" w:hAnsi="Times New Roman"/>
                <w:sz w:val="28"/>
              </w:rPr>
              <w:t xml:space="preserve">Доля разовых участников, %</w:t>
            </w:r>
          </w:p>
        </w:tc>
        <w:tc>
          <w:tcPr/>
          <w:p>
            <w:pPr>
              <w:pStyle w:val="Compact"/>
              <w:jc w:val="right"/>
            </w:pPr>
            <w:r>
              <w:rPr>
                <w:rFonts w:ascii="Times New Roman" w:hAnsi="Times New Roman"/>
                <w:sz w:val="28"/>
              </w:rPr>
              <w:t xml:space="preserve">43.7</w:t>
            </w:r>
          </w:p>
        </w:tc>
        <w:tc>
          <w:tcPr/>
          <w:p>
            <w:pPr>
              <w:pStyle w:val="Compact"/>
              <w:jc w:val="right"/>
            </w:pPr>
            <w:r>
              <w:rPr>
                <w:rFonts w:ascii="Times New Roman" w:hAnsi="Times New Roman"/>
                <w:sz w:val="28"/>
              </w:rPr>
              <w:t xml:space="preserve">38.5</w:t>
            </w:r>
          </w:p>
        </w:tc>
        <w:tc>
          <w:tcPr/>
          <w:p>
            <w:pPr>
              <w:pStyle w:val="Compact"/>
              <w:jc w:val="right"/>
            </w:pPr>
            <w:r>
              <w:rPr>
                <w:rFonts w:ascii="Times New Roman" w:hAnsi="Times New Roman"/>
                <w:sz w:val="28"/>
              </w:rPr>
              <w:t xml:space="preserve">42.7</w:t>
            </w:r>
          </w:p>
        </w:tc>
      </w:tr>
      <w:tr>
        <w:tc>
          <w:tcPr/>
          <w:p>
            <w:pPr>
              <w:pStyle w:val="Compact"/>
            </w:pPr>
            <w:r>
              <w:rPr>
                <w:rFonts w:ascii="Times New Roman" w:hAnsi="Times New Roman"/>
                <w:sz w:val="28"/>
              </w:rPr>
              <w:t xml:space="preserve">Доля ядра (&gt;=5 докладов), %</w:t>
            </w:r>
          </w:p>
        </w:tc>
        <w:tc>
          <w:tcPr/>
          <w:p>
            <w:pPr>
              <w:pStyle w:val="Compact"/>
              <w:jc w:val="right"/>
            </w:pPr>
            <w:r>
              <w:rPr>
                <w:rFonts w:ascii="Times New Roman" w:hAnsi="Times New Roman"/>
                <w:sz w:val="28"/>
              </w:rPr>
              <w:t xml:space="preserve">24.0</w:t>
            </w:r>
          </w:p>
        </w:tc>
        <w:tc>
          <w:tcPr/>
          <w:p>
            <w:pPr>
              <w:pStyle w:val="Compact"/>
              <w:jc w:val="right"/>
            </w:pPr>
            <w:r>
              <w:rPr>
                <w:rFonts w:ascii="Times New Roman" w:hAnsi="Times New Roman"/>
                <w:sz w:val="28"/>
              </w:rPr>
              <w:t xml:space="preserve">31.9</w:t>
            </w:r>
          </w:p>
        </w:tc>
        <w:tc>
          <w:tcPr/>
          <w:p>
            <w:pPr>
              <w:pStyle w:val="Compact"/>
              <w:jc w:val="right"/>
            </w:pPr>
            <w:r>
              <w:rPr>
                <w:rFonts w:ascii="Times New Roman" w:hAnsi="Times New Roman"/>
                <w:sz w:val="28"/>
              </w:rPr>
              <w:t xml:space="preserve">32.3</w:t>
            </w:r>
          </w:p>
        </w:tc>
      </w:tr>
      <w:tr>
        <w:tc>
          <w:tcPr/>
          <w:p>
            <w:pPr>
              <w:pStyle w:val="Compact"/>
            </w:pPr>
            <w:r>
              <w:rPr>
                <w:rFonts w:ascii="Times New Roman" w:hAnsi="Times New Roman"/>
                <w:sz w:val="28"/>
              </w:rPr>
              <w:t xml:space="preserve">Удержание дебютантов, %</w:t>
            </w:r>
          </w:p>
        </w:tc>
        <w:tc>
          <w:tcPr/>
          <w:p>
            <w:pPr>
              <w:pStyle w:val="Compact"/>
              <w:jc w:val="right"/>
            </w:pPr>
            <w:r>
              <w:rPr>
                <w:rFonts w:ascii="Times New Roman" w:hAnsi="Times New Roman"/>
                <w:sz w:val="28"/>
              </w:rPr>
              <w:t xml:space="preserve">56.3</w:t>
            </w:r>
          </w:p>
        </w:tc>
        <w:tc>
          <w:tcPr/>
          <w:p>
            <w:pPr>
              <w:pStyle w:val="Compact"/>
              <w:jc w:val="right"/>
            </w:pPr>
            <w:r>
              <w:rPr>
                <w:rFonts w:ascii="Times New Roman" w:hAnsi="Times New Roman"/>
                <w:sz w:val="28"/>
              </w:rPr>
              <w:t xml:space="preserve">61.5</w:t>
            </w:r>
          </w:p>
        </w:tc>
        <w:tc>
          <w:tcPr/>
          <w:p>
            <w:pPr>
              <w:pStyle w:val="Compact"/>
              <w:jc w:val="right"/>
            </w:pPr>
            <w:r>
              <w:rPr>
                <w:rFonts w:ascii="Times New Roman" w:hAnsi="Times New Roman"/>
                <w:sz w:val="28"/>
              </w:rPr>
              <w:t xml:space="preserve">57.3</w:t>
            </w:r>
          </w:p>
        </w:tc>
      </w:tr>
      <w:tr>
        <w:tc>
          <w:tcPr/>
          <w:p>
            <w:pPr>
              <w:pStyle w:val="Compact"/>
            </w:pPr>
            <w:r>
              <w:rPr>
                <w:rFonts w:ascii="Times New Roman" w:hAnsi="Times New Roman"/>
                <w:sz w:val="28"/>
              </w:rPr>
              <w:t xml:space="preserve">Индекс Джини</w:t>
            </w:r>
          </w:p>
        </w:tc>
        <w:tc>
          <w:tcPr/>
          <w:p>
            <w:pPr>
              <w:pStyle w:val="Compact"/>
              <w:jc w:val="right"/>
            </w:pPr>
            <w:r>
              <w:rPr>
                <w:rFonts w:ascii="Times New Roman" w:hAnsi="Times New Roman"/>
                <w:sz w:val="28"/>
              </w:rPr>
              <w:t xml:space="preserve">0.461</w:t>
            </w:r>
          </w:p>
        </w:tc>
        <w:tc>
          <w:tcPr/>
          <w:p>
            <w:pPr>
              <w:pStyle w:val="Compact"/>
              <w:jc w:val="right"/>
            </w:pPr>
            <w:r>
              <w:rPr>
                <w:rFonts w:ascii="Times New Roman" w:hAnsi="Times New Roman"/>
                <w:sz w:val="28"/>
              </w:rPr>
              <w:t xml:space="preserve">0.470</w:t>
            </w:r>
          </w:p>
        </w:tc>
        <w:tc>
          <w:tcPr/>
          <w:p>
            <w:pPr>
              <w:pStyle w:val="Compact"/>
              <w:jc w:val="right"/>
            </w:pPr>
            <w:r>
              <w:rPr>
                <w:rFonts w:ascii="Times New Roman" w:hAnsi="Times New Roman"/>
                <w:sz w:val="28"/>
              </w:rPr>
              <w:t xml:space="preserve">0.510</w:t>
            </w:r>
          </w:p>
        </w:tc>
      </w:tr>
    </w:tbl>
    <w:p>
      <w:pPr>
        <w:pStyle w:val="BodyText"/>
      </w:pPr>
      <w:r>
        <w:rPr>
          <w:rFonts w:ascii="Times New Roman" w:hAnsi="Times New Roman"/>
          <w:sz w:val="28"/>
        </w:rPr>
        <w:t xml:space="preserve">На уровне простых описательных метрик Рериховские чтения выглядят более компактной и самовоспроизводящейся средой: доля ядра выше, доля разовых участников ниже, удержание дебютантов немного выше. Однако эти различия не следует превращать в доказательство скрытого механизма отбора. Доверительные интервалы доли ядра и удержания заметно перекрываются, а индекс Джини почти одинаков. Следовательно, более корректная формула такова: Рериховские чтения являются меньшей и плотнее организованной публичной средой, тогда как Зографские чтения - более широкой площадкой с большим числом эпизодических входов.</w:t>
      </w:r>
    </w:p>
    <w:p>
      <w:pPr>
        <w:pStyle w:val="BodyText"/>
      </w:pPr>
      <w:r>
        <w:rPr>
          <w:rFonts w:ascii="Times New Roman" w:hAnsi="Times New Roman"/>
          <w:sz w:val="28"/>
        </w:rPr>
        <w:t xml:space="preserve">Самый неожиданный результат связан не с плотностью ядра, а с пересечением площадок. Из 220 ученых только 38, или 17.3%, выступали и на Зографских, и на Рериховских чтениях. Само по себе это число могло бы казаться значительным. Но перестановочная модель показывает обратное: при случайном распределении той же индивидуальной активности между двумя площадками ожидалось бы около 104 общих участников (среднее 103.6, стандартное отклонение 3.5). Наблюдаемое значение более чем на 18 стандартных отклонений ниже ожидания. Это значит, что две конференционные среды связаны заметно слабее, чем предсказывает простая модель активности.</w:t>
      </w:r>
    </w:p>
    <w:p>
      <w:pPr>
        <w:pStyle w:val="BodyText"/>
      </w:pPr>
      <w:r>
        <w:rPr>
          <w:rFonts w:ascii="Times New Roman" w:hAnsi="Times New Roman"/>
          <w:sz w:val="28"/>
        </w:rPr>
        <w:t xml:space="preserve">Этот результат меняет смысл перекрестной когорты. 38 общих участника - не доказательство единства двух площадок, а, напротив, небольшой мостовой слой между двумя частично изолированными средами. Их роль важна именно потому, что переход между площадками редок. По сессионному графу наиболее заметные посредники соединяют не только города, но и тематические блоки программ; однако даже они чаще переносят собственные устойчивые специализации, чем выступают как универсальные синтетики.</w:t>
      </w:r>
    </w:p>
    <w:bookmarkEnd w:id="13"/>
    <w:bookmarkStart w:id="14" w:name="Xf79e46202706fd94d47069bbaf449805589bb46"/>
    <w:p>
      <w:pPr>
        <w:pStyle w:val="Heading2"/>
      </w:pPr>
      <w:r>
        <w:rPr>
          <w:rFonts w:ascii="Times New Roman" w:hAnsi="Times New Roman"/>
          <w:sz w:val="28"/>
        </w:rPr>
        <w:t xml:space="preserve">4. Тематические профили и источник аффилиации</w:t>
      </w:r>
    </w:p>
    <w:p>
      <w:pPr>
        <w:pStyle w:val="FirstParagraph"/>
      </w:pPr>
      <w:r>
        <w:rPr>
          <w:rFonts w:ascii="Times New Roman" w:hAnsi="Times New Roman"/>
          <w:sz w:val="28"/>
        </w:rPr>
        <w:t xml:space="preserve">Тематические различия между площадками устойчивее, чем различия в метриках закрытости. По дисциплинарной оси L1 Зографские чтения сильнее связаны с литературоведением, философией и религиоведением, а Рериховские - с религиоведением, литературой, историей и искусством. Формальная проверка распределения L1 дает статистически значимое различие: chi-square = 55.26, p ~= 1.09e-8, V Крамера ~= 0.248. Проверки чувствительности, исключающие низкоуверенные и проблемные записи, сохраняют эффект.</w:t>
      </w:r>
    </w:p>
    <w:p>
      <w:pPr>
        <w:pStyle w:val="BodyText"/>
      </w:pPr>
      <w:r>
        <w:rPr>
          <w:rFonts w:ascii="Times New Roman" w:hAnsi="Times New Roman"/>
          <w:sz w:val="28"/>
        </w:rPr>
        <w:t xml:space="preserve">Еще отчетливее различие по историко-культурному периоду L2. Рериховские чтения концентрируют около 74% докладов на классическом и средневековом периодах. У Зографских чтений те же периоды составляют около 56%, а оставшаяся часть корпуса шире распределяется между ведийскими, колониальными, современными и внехронологическими сюжетами. Для L2 различие также устойчиво: chi-square = 54.74, p ~= 5.24e-10, V Крамера ~= 0.247.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sz w:val="28"/>
              </w:rPr>
              <w:t xml:space="preserve">Разрез</w:t>
            </w:r>
          </w:p>
        </w:tc>
        <w:tc>
          <w:tcPr/>
          <w:p>
            <w:pPr>
              <w:pStyle w:val="Compact"/>
            </w:pPr>
            <w:r>
              <w:rPr>
                <w:rFonts w:ascii="Times New Roman" w:hAnsi="Times New Roman"/>
                <w:sz w:val="28"/>
              </w:rPr>
              <w:t xml:space="preserve">Главный результат</w:t>
            </w:r>
          </w:p>
        </w:tc>
        <w:tc>
          <w:tcPr/>
          <w:p>
            <w:pPr>
              <w:pStyle w:val="Compact"/>
            </w:pPr>
            <w:r>
              <w:rPr>
                <w:rFonts w:ascii="Times New Roman" w:hAnsi="Times New Roman"/>
                <w:sz w:val="28"/>
              </w:rPr>
              <w:t xml:space="preserve">Интерпретация</w:t>
            </w:r>
          </w:p>
        </w:tc>
      </w:tr>
      <w:tr>
        <w:tc>
          <w:tcPr/>
          <w:p>
            <w:pPr>
              <w:pStyle w:val="Compact"/>
            </w:pPr>
            <w:r>
              <w:rPr>
                <w:rFonts w:ascii="Times New Roman" w:hAnsi="Times New Roman"/>
                <w:sz w:val="28"/>
              </w:rPr>
              <w:t xml:space="preserve">Пересечение участников</w:t>
            </w:r>
          </w:p>
        </w:tc>
        <w:tc>
          <w:tcPr/>
          <w:p>
            <w:pPr>
              <w:pStyle w:val="Compact"/>
            </w:pPr>
            <w:r>
              <w:rPr>
                <w:rFonts w:ascii="Times New Roman" w:hAnsi="Times New Roman"/>
                <w:sz w:val="28"/>
              </w:rPr>
              <w:t xml:space="preserve">38 общих ученых вместо ожидаемых ~104</w:t>
            </w:r>
          </w:p>
        </w:tc>
        <w:tc>
          <w:tcPr/>
          <w:p>
            <w:pPr>
              <w:pStyle w:val="Compact"/>
            </w:pPr>
            <w:r>
              <w:rPr>
                <w:rFonts w:ascii="Times New Roman" w:hAnsi="Times New Roman"/>
                <w:sz w:val="28"/>
              </w:rPr>
              <w:t xml:space="preserve">две частично изолированные среды</w:t>
            </w:r>
          </w:p>
        </w:tc>
      </w:tr>
      <w:tr>
        <w:tc>
          <w:tcPr/>
          <w:p>
            <w:pPr>
              <w:pStyle w:val="Compact"/>
            </w:pPr>
            <w:r>
              <w:rPr>
                <w:rFonts w:ascii="Times New Roman" w:hAnsi="Times New Roman"/>
                <w:sz w:val="28"/>
              </w:rPr>
              <w:t xml:space="preserve">L1: дисциплина</w:t>
            </w:r>
          </w:p>
        </w:tc>
        <w:tc>
          <w:tcPr/>
          <w:p>
            <w:pPr>
              <w:pStyle w:val="Compact"/>
            </w:pPr>
            <w:r>
              <w:rPr>
                <w:rFonts w:ascii="Times New Roman" w:hAnsi="Times New Roman"/>
                <w:sz w:val="28"/>
              </w:rPr>
              <w:t xml:space="preserve">p ~= 1.09e-8</w:t>
            </w:r>
          </w:p>
        </w:tc>
        <w:tc>
          <w:tcPr/>
          <w:p>
            <w:pPr>
              <w:pStyle w:val="Compact"/>
            </w:pPr>
            <w:r>
              <w:rPr>
                <w:rFonts w:ascii="Times New Roman" w:hAnsi="Times New Roman"/>
                <w:sz w:val="28"/>
              </w:rPr>
              <w:t xml:space="preserve">разные дисциплинарные профили</w:t>
            </w:r>
          </w:p>
        </w:tc>
      </w:tr>
      <w:tr>
        <w:tc>
          <w:tcPr/>
          <w:p>
            <w:pPr>
              <w:pStyle w:val="Compact"/>
            </w:pPr>
            <w:r>
              <w:rPr>
                <w:rFonts w:ascii="Times New Roman" w:hAnsi="Times New Roman"/>
                <w:sz w:val="28"/>
              </w:rPr>
              <w:t xml:space="preserve">L2: период</w:t>
            </w:r>
          </w:p>
        </w:tc>
        <w:tc>
          <w:tcPr/>
          <w:p>
            <w:pPr>
              <w:pStyle w:val="Compact"/>
            </w:pPr>
            <w:r>
              <w:rPr>
                <w:rFonts w:ascii="Times New Roman" w:hAnsi="Times New Roman"/>
                <w:sz w:val="28"/>
              </w:rPr>
              <w:t xml:space="preserve">Рерих 74% классика+средневековье; Зограф 56%</w:t>
            </w:r>
          </w:p>
        </w:tc>
        <w:tc>
          <w:tcPr/>
          <w:p>
            <w:pPr>
              <w:pStyle w:val="Compact"/>
            </w:pPr>
            <w:r>
              <w:rPr>
                <w:rFonts w:ascii="Times New Roman" w:hAnsi="Times New Roman"/>
                <w:sz w:val="28"/>
              </w:rPr>
              <w:t xml:space="preserve">разная хронологическая оптика</w:t>
            </w:r>
          </w:p>
        </w:tc>
      </w:tr>
      <w:tr>
        <w:tc>
          <w:tcPr/>
          <w:p>
            <w:pPr>
              <w:pStyle w:val="Compact"/>
            </w:pPr>
            <w:r>
              <w:rPr>
                <w:rFonts w:ascii="Times New Roman" w:hAnsi="Times New Roman"/>
                <w:sz w:val="28"/>
              </w:rPr>
              <w:t xml:space="preserve">Аффилиации</w:t>
            </w:r>
          </w:p>
        </w:tc>
        <w:tc>
          <w:tcPr/>
          <w:p>
            <w:pPr>
              <w:pStyle w:val="Compact"/>
            </w:pPr>
            <w:r>
              <w:rPr>
                <w:rFonts w:ascii="Times New Roman" w:hAnsi="Times New Roman"/>
                <w:sz w:val="28"/>
              </w:rPr>
              <w:t xml:space="preserve">“только город”</w:t>
            </w:r>
            <w:r>
              <w:rPr>
                <w:rFonts w:ascii="Times New Roman" w:hAnsi="Times New Roman"/>
                <w:sz w:val="28"/>
              </w:rPr>
              <w:t xml:space="preserve"> </w:t>
            </w:r>
            <w:r>
              <w:rPr>
                <w:rFonts w:ascii="Times New Roman" w:hAnsi="Times New Roman"/>
                <w:sz w:val="28"/>
              </w:rPr>
              <w:t xml:space="preserve">94.7% на Зографе и 13.0% на Рерихе</w:t>
            </w:r>
          </w:p>
        </w:tc>
        <w:tc>
          <w:tcPr/>
          <w:p>
            <w:pPr>
              <w:pStyle w:val="Compact"/>
            </w:pPr>
            <w:r>
              <w:rPr>
                <w:rFonts w:ascii="Times New Roman" w:hAnsi="Times New Roman"/>
                <w:sz w:val="28"/>
              </w:rPr>
              <w:t xml:space="preserve">разный стандарт публикации программ</w:t>
            </w:r>
          </w:p>
        </w:tc>
      </w:tr>
      <w:tr>
        <w:tc>
          <w:tcPr/>
          <w:p>
            <w:pPr>
              <w:pStyle w:val="Compact"/>
            </w:pPr>
            <w:r>
              <w:rPr>
                <w:rFonts w:ascii="Times New Roman" w:hAnsi="Times New Roman"/>
                <w:sz w:val="28"/>
              </w:rPr>
              <w:t xml:space="preserve">Шкала G</w:t>
            </w:r>
          </w:p>
        </w:tc>
        <w:tc>
          <w:tcPr/>
          <w:p>
            <w:pPr>
              <w:pStyle w:val="Compact"/>
            </w:pPr>
            <w:r>
              <w:rPr>
                <w:rFonts w:ascii="Times New Roman" w:hAnsi="Times New Roman"/>
                <w:sz w:val="28"/>
              </w:rPr>
              <w:t xml:space="preserve">G1 = 852 из 895 докладов</w:t>
            </w:r>
          </w:p>
        </w:tc>
        <w:tc>
          <w:tcPr/>
          <w:p>
            <w:pPr>
              <w:pStyle w:val="Compact"/>
            </w:pPr>
            <w:r>
              <w:rPr>
                <w:rFonts w:ascii="Times New Roman" w:hAnsi="Times New Roman"/>
                <w:sz w:val="28"/>
              </w:rPr>
              <w:t xml:space="preserve">микрокейс как норма жанра</w:t>
            </w:r>
          </w:p>
        </w:tc>
      </w:tr>
    </w:tbl>
    <w:p>
      <w:pPr>
        <w:pStyle w:val="BodyText"/>
      </w:pPr>
      <w:r>
        <w:rPr>
          <w:rFonts w:ascii="Times New Roman" w:hAnsi="Times New Roman"/>
          <w:sz w:val="28"/>
        </w:rPr>
        <w:t xml:space="preserve">Отдельной оговорки требует поле аффилиации. В Зографских программах участник почти всегда представлен городом, а не учреждением; в Рериховских программах чаще указывается институция. Среди 899 авторских участий доля записей, где вместо учреждения указан только город, составляет 94.7% на Зографских чтениях и 13.0% на Рериховских. Различие сохраняется при стратификации по годам: отношение шансов около 157, chi-square около 381, p ~= 8 x 10^-85. Поэтому строку</w:t>
      </w:r>
      <w:r>
        <w:rPr>
          <w:rFonts w:ascii="Times New Roman" w:hAnsi="Times New Roman"/>
          <w:sz w:val="28"/>
        </w:rPr>
        <w:t xml:space="preserve"> </w:t>
      </w:r>
      <w:r>
        <w:rPr>
          <w:rFonts w:ascii="Times New Roman" w:hAnsi="Times New Roman"/>
          <w:sz w:val="28"/>
        </w:rPr>
        <w:t xml:space="preserve">“Москва”</w:t>
      </w:r>
      <w:r>
        <w:rPr>
          <w:rFonts w:ascii="Times New Roman" w:hAnsi="Times New Roman"/>
          <w:sz w:val="28"/>
        </w:rPr>
        <w:t xml:space="preserve">,</w:t>
      </w:r>
      <w:r>
        <w:rPr>
          <w:rFonts w:ascii="Times New Roman" w:hAnsi="Times New Roman"/>
          <w:sz w:val="28"/>
        </w:rPr>
        <w:t xml:space="preserve"> </w:t>
      </w:r>
      <w:r>
        <w:rPr>
          <w:rFonts w:ascii="Times New Roman" w:hAnsi="Times New Roman"/>
          <w:sz w:val="28"/>
        </w:rPr>
        <w:t xml:space="preserve">“Пенза”</w:t>
      </w:r>
      <w:r>
        <w:rPr>
          <w:rFonts w:ascii="Times New Roman" w:hAnsi="Times New Roman"/>
          <w:sz w:val="28"/>
        </w:rPr>
        <w:t xml:space="preserve"> </w:t>
      </w:r>
      <w:r>
        <w:rPr>
          <w:rFonts w:ascii="Times New Roman" w:hAnsi="Times New Roman"/>
          <w:sz w:val="28"/>
        </w:rPr>
        <w:t xml:space="preserve">или</w:t>
      </w:r>
      <w:r>
        <w:rPr>
          <w:rFonts w:ascii="Times New Roman" w:hAnsi="Times New Roman"/>
          <w:sz w:val="28"/>
        </w:rPr>
        <w:t xml:space="preserve"> </w:t>
      </w:r>
      <w:r>
        <w:rPr>
          <w:rFonts w:ascii="Times New Roman" w:hAnsi="Times New Roman"/>
          <w:sz w:val="28"/>
        </w:rPr>
        <w:t xml:space="preserve">“Калининград”</w:t>
      </w:r>
      <w:r>
        <w:rPr>
          <w:rFonts w:ascii="Times New Roman" w:hAnsi="Times New Roman"/>
          <w:sz w:val="28"/>
        </w:rPr>
        <w:t xml:space="preserve"> </w:t>
      </w:r>
      <w:r>
        <w:rPr>
          <w:rFonts w:ascii="Times New Roman" w:hAnsi="Times New Roman"/>
          <w:sz w:val="28"/>
        </w:rPr>
        <w:t xml:space="preserve">нельзя автоматически читать как отсутствие университетской или академической занятости. Это прежде всего свойство редакционного формата программы.</w:t>
      </w:r>
    </w:p>
    <w:p>
      <w:pPr>
        <w:pStyle w:val="BodyText"/>
      </w:pPr>
      <w:r>
        <w:rPr>
          <w:rFonts w:ascii="Times New Roman" w:hAnsi="Times New Roman"/>
          <w:sz w:val="28"/>
        </w:rPr>
        <w:t xml:space="preserve">Такой вывод важен для интерпретации периферии. Данные действительно показывают более низкую возвращаемость региональных участников: 36.1% против примерно 59% у столичных групп. Но из городского ярлыка нельзя вывести тип места работы. Гипотеза о внеуниверситетском характере периферийного участия может быть поставлена, но для ее проверки нужен отдельный authority-слой с внешними биографическими и институциональными источниками. В этой статье она не используется как доказанный результат.</w:t>
      </w:r>
    </w:p>
    <w:bookmarkEnd w:id="14"/>
    <w:bookmarkStart w:id="15" w:name="микрокейс-как-норма"/>
    <w:p>
      <w:pPr>
        <w:pStyle w:val="Heading2"/>
      </w:pPr>
      <w:r>
        <w:rPr>
          <w:rFonts w:ascii="Times New Roman" w:hAnsi="Times New Roman"/>
          <w:sz w:val="28"/>
        </w:rPr>
        <w:t xml:space="preserve">5. Микрокейс как норма</w:t>
      </w:r>
    </w:p>
    <w:p>
      <w:pPr>
        <w:pStyle w:val="FirstParagraph"/>
      </w:pPr>
      <w:r>
        <w:rPr>
          <w:rFonts w:ascii="Times New Roman" w:hAnsi="Times New Roman"/>
          <w:sz w:val="28"/>
        </w:rPr>
        <w:t xml:space="preserve">Наиболее неожиданная жанровая находка связана со шкалой G1-G3. Из 895 уникальных докладов 852 относятся к G1, то есть к микрокейсовому уровню. G2 включает 37 докладов, G3 - только 6. Иными словами, публичная конференционная индология в рассматриваемом корпусе почти всегда говорит через отдельный текст, автора, термин, памятник или локальный сюжет. Широкие цивилизационные и сравнительные обобщения существуют, но являются исключением.</w:t>
      </w:r>
    </w:p>
    <w:p>
      <w:pPr>
        <w:pStyle w:val="BodyText"/>
      </w:pPr>
      <w:r>
        <w:rPr>
          <w:rFonts w:ascii="Times New Roman" w:hAnsi="Times New Roman"/>
          <w:sz w:val="28"/>
        </w:rPr>
        <w:t xml:space="preserve">Этот результат не следует понимать оценочно. Микрокейс не является признаком слабости; для филологической, историко-религиоведческой и источниковедческой традиции он часто представляет собой нормальный способ научной аргументации. Однако распределение G1-G3 показывает, что две площадки редко производят публичный жанр большой синтетической рамки. Особенно показательно, что перекрестные участники не оказываются макрообобщающими фигурами. У авторов, выступавших на обеих площадках, доля G2/G3 составляет лишь 2.3%, тогда как у одноплощадочных участников - 6.5% (p ~= 0.0037). Мостовая функция, таким образом, обеспечивается не синтетическим универсализмом, а переносом устойчивых частных специализаций.</w:t>
      </w:r>
    </w:p>
    <w:p>
      <w:pPr>
        <w:pStyle w:val="BodyText"/>
      </w:pPr>
      <w:r>
        <w:rPr>
          <w:rFonts w:ascii="Times New Roman" w:hAnsi="Times New Roman"/>
          <w:sz w:val="28"/>
        </w:rPr>
        <w:t xml:space="preserve">Возрастной срез уточняет этот вывод. Для всех G2/G3 вместе возрастной эффект умеренный: медиана возраста авторского участия составляет 50 лет против 45 лет у G1, а тест Манна-Уитни дает только тенденцию (p ~= 0.066). Но на уровне G3 картина заметнее: медианный возраст автора составляет 66 лет, и 4 из 6 G3-докладов сделаны участниками старше 60 лет. Поэтому осторожная формулировка такова: широкое обобщение не запрещено полностью, но в наблюдаемом корпусе появляется главным образом как жанр признанного старшего или уже авторитетного голоса.</w:t>
      </w:r>
    </w:p>
    <w:p>
      <w:pPr>
        <w:pStyle w:val="BodyText"/>
      </w:pPr>
      <w:r>
        <w:rPr>
          <w:rFonts w:ascii="Times New Roman" w:hAnsi="Times New Roman"/>
          <w:sz w:val="28"/>
        </w:rPr>
        <w:t xml:space="preserve">Видеозаписи не меняют эту картину. Из 82 докладов, к которым в базе привязаны прямые видеоссылки, 81 относится к G1, один - к G2 и ни один - к G3. Видеоархив расширяет публичную проверяемость отдельных выступлений, но не является репрезентативным срезом макросинтетического жанра.</w:t>
      </w:r>
    </w:p>
    <w:bookmarkEnd w:id="15"/>
    <w:bookmarkStart w:id="16" w:name="выводы"/>
    <w:p>
      <w:pPr>
        <w:pStyle w:val="Heading2"/>
      </w:pPr>
      <w:r>
        <w:rPr>
          <w:rFonts w:ascii="Times New Roman" w:hAnsi="Times New Roman"/>
          <w:sz w:val="28"/>
        </w:rPr>
        <w:t xml:space="preserve">6. Выводы</w:t>
      </w:r>
    </w:p>
    <w:p>
      <w:pPr>
        <w:pStyle w:val="FirstParagraph"/>
      </w:pPr>
      <w:r>
        <w:rPr>
          <w:rFonts w:ascii="Times New Roman" w:hAnsi="Times New Roman"/>
          <w:sz w:val="28"/>
        </w:rPr>
        <w:t xml:space="preserve">Анализ двух чтений показывает, что публично наблюдаемая конференционная индология России организована не как единое непрерывное поле, а как две частично изолированные среды, связанные небольшим мостовым слоем. Это самый сильный количественный результат статьи: наблюдаемое пересечение в 38 ученых резко ниже нулевого ожидания около 104 при той же индивидуальной активности.</w:t>
      </w:r>
    </w:p>
    <w:p>
      <w:pPr>
        <w:pStyle w:val="BodyText"/>
      </w:pPr>
      <w:r>
        <w:rPr>
          <w:rFonts w:ascii="Times New Roman" w:hAnsi="Times New Roman"/>
          <w:sz w:val="28"/>
        </w:rPr>
        <w:t xml:space="preserve">Второй результат состоит в устойчивой тематической асимметрии. Рериховские чтения компактнее и сильнее ориентированы на классико-средневековый</w:t>
      </w:r>
      <w:r>
        <w:rPr>
          <w:rFonts w:ascii="Times New Roman" w:hAnsi="Times New Roman"/>
          <w:sz w:val="28"/>
        </w:rPr>
        <w:t xml:space="preserve"> </w:t>
      </w:r>
      <w:r>
        <w:rPr>
          <w:rFonts w:ascii="Times New Roman" w:hAnsi="Times New Roman"/>
          <w:sz w:val="28"/>
        </w:rPr>
        <w:t xml:space="preserve">“золотой век”</w:t>
      </w:r>
      <w:r>
        <w:rPr>
          <w:rFonts w:ascii="Times New Roman" w:hAnsi="Times New Roman"/>
          <w:sz w:val="28"/>
        </w:rPr>
        <w:t xml:space="preserve">; Зографские чтения шире по составу участников и хронологическому диапазону. Но различия в метриках</w:t>
      </w:r>
      <w:r>
        <w:rPr>
          <w:rFonts w:ascii="Times New Roman" w:hAnsi="Times New Roman"/>
          <w:sz w:val="28"/>
        </w:rPr>
        <w:t xml:space="preserve"> </w:t>
      </w:r>
      <w:r>
        <w:rPr>
          <w:rFonts w:ascii="Times New Roman" w:hAnsi="Times New Roman"/>
          <w:sz w:val="28"/>
        </w:rPr>
        <w:t xml:space="preserve">“закрытости”</w:t>
      </w:r>
      <w:r>
        <w:rPr>
          <w:rFonts w:ascii="Times New Roman" w:hAnsi="Times New Roman"/>
          <w:sz w:val="28"/>
        </w:rPr>
        <w:t xml:space="preserve"> </w:t>
      </w:r>
      <w:r>
        <w:rPr>
          <w:rFonts w:ascii="Times New Roman" w:hAnsi="Times New Roman"/>
          <w:sz w:val="28"/>
        </w:rPr>
        <w:t xml:space="preserve">следует описывать осторожно: они видны как тенденция, но не доказывают скрытый фильтр отбора.</w:t>
      </w:r>
    </w:p>
    <w:p>
      <w:pPr>
        <w:pStyle w:val="BodyText"/>
      </w:pPr>
      <w:r>
        <w:rPr>
          <w:rFonts w:ascii="Times New Roman" w:hAnsi="Times New Roman"/>
          <w:sz w:val="28"/>
        </w:rPr>
        <w:t xml:space="preserve">Третий результат - источниковедческий. Аффилиации в программах нельзя читать буквально: Зографские чтения почти всегда публикуют город вместо учреждения, тогда как Рериховские чаще показывают институциональную принадлежность. Поэтому данные о городах пригодны для анализа публичной репрезентации, но не для прямого вывода о месте работы участника.</w:t>
      </w:r>
    </w:p>
    <w:p>
      <w:pPr>
        <w:pStyle w:val="BodyText"/>
      </w:pPr>
      <w:r>
        <w:rPr>
          <w:rFonts w:ascii="Times New Roman" w:hAnsi="Times New Roman"/>
          <w:sz w:val="28"/>
        </w:rPr>
        <w:t xml:space="preserve">Четвертый результат - жанровый. Шкала G1-G3 показывает, что микрокейс является нормой поля: 852 из 895 докладов построены на локальном объекте, а широкие обобщения крайне редки. Это не недостаток, а характеристика дисциплинарного режима: российская конференционная индология публично воспроизводит себя прежде всего через точечную работу с текстами, авторами и источниками. Редкие обобщения появляются как особый жанр, чаще связанный со старшим или уже авторитетным голосом.</w:t>
      </w:r>
    </w:p>
    <w:p>
      <w:pPr>
        <w:pStyle w:val="BodyText"/>
      </w:pPr>
      <w:r>
        <w:rPr>
          <w:rFonts w:ascii="Times New Roman" w:hAnsi="Times New Roman"/>
          <w:sz w:val="28"/>
        </w:rPr>
        <w:t xml:space="preserve">Таким образом, наиболее важная картина, которую дает корпус, не сводится к вопросу, какая площадка</w:t>
      </w:r>
      <w:r>
        <w:rPr>
          <w:rFonts w:ascii="Times New Roman" w:hAnsi="Times New Roman"/>
          <w:sz w:val="28"/>
        </w:rPr>
        <w:t xml:space="preserve"> </w:t>
      </w:r>
      <w:r>
        <w:rPr>
          <w:rFonts w:ascii="Times New Roman" w:hAnsi="Times New Roman"/>
          <w:sz w:val="28"/>
        </w:rPr>
        <w:t xml:space="preserve">“закрытее”</w:t>
      </w:r>
      <w:r>
        <w:rPr>
          <w:rFonts w:ascii="Times New Roman" w:hAnsi="Times New Roman"/>
          <w:sz w:val="28"/>
        </w:rPr>
        <w:t xml:space="preserve">. Более продуктивно говорить о сочетании трех структур: слабого межплощадочного пересечения, разной тематической оптики и микрокейсового жанра доклада. Именно это сочетание делает Зографские и Рериховские чтения двумя разными, но взаимно необходимыми архивами публичной истории российской индологии.</w:t>
      </w:r>
    </w:p>
    <w:bookmarkEnd w:id="16"/>
    <w:bookmarkStart w:id="17" w:name="сокращения"/>
    <w:p>
      <w:pPr>
        <w:pStyle w:val="Heading2"/>
      </w:pPr>
      <w:r>
        <w:rPr>
          <w:rFonts w:ascii="Times New Roman" w:hAnsi="Times New Roman"/>
          <w:sz w:val="28"/>
        </w:rPr>
        <w:t xml:space="preserve">Сокращения</w:t>
      </w:r>
    </w:p>
    <w:p>
      <w:pPr>
        <w:pStyle w:val="FirstParagraph"/>
      </w:pPr>
      <w:r>
        <w:rPr>
          <w:rFonts w:ascii="Times New Roman" w:hAnsi="Times New Roman"/>
          <w:sz w:val="28"/>
        </w:rPr>
        <w:t xml:space="preserve">G1-G3 - шкала масштаба обобщения доклада; L1-L2 - тематические оси классификации докладов; ИВ РАН - Институт востоковедения Российской академии наук; ИВР РАН - Институт восточных рукописей Российской академии наук.</w:t>
      </w:r>
    </w:p>
    <w:bookmarkEnd w:id="17"/>
    <w:bookmarkStart w:id="18" w:name="литература"/>
    <w:p>
      <w:pPr>
        <w:pStyle w:val="Heading2"/>
      </w:pPr>
      <w:r>
        <w:rPr>
          <w:rFonts w:ascii="Times New Roman" w:hAnsi="Times New Roman"/>
          <w:sz w:val="28"/>
        </w:rPr>
        <w:t xml:space="preserve">Литература</w:t>
      </w:r>
    </w:p>
    <w:p>
      <w:pPr>
        <w:pStyle w:val="FirstParagraph"/>
      </w:pPr>
      <w:r>
        <w:rPr>
          <w:rFonts w:ascii="Times New Roman" w:hAnsi="Times New Roman"/>
          <w:sz w:val="28"/>
        </w:rPr>
        <w:t xml:space="preserve">Efron 1979 –</w:t>
      </w:r>
      <w:r>
        <w:rPr>
          <w:rFonts w:ascii="Times New Roman" w:hAnsi="Times New Roman"/>
          <w:sz w:val="28"/>
        </w:rPr>
        <w:t xml:space="preserve"> </w:t>
      </w:r>
      <w:r>
        <w:rPr>
          <w:rFonts w:ascii="Times New Roman" w:hAnsi="Times New Roman"/>
          <w:i/>
          <w:iCs/>
          <w:sz w:val="28"/>
        </w:rPr>
        <w:t xml:space="preserve">Efron, Bradley.</w:t>
      </w:r>
      <w:r>
        <w:rPr>
          <w:rFonts w:ascii="Times New Roman" w:hAnsi="Times New Roman"/>
          <w:sz w:val="28"/>
        </w:rPr>
        <w:t xml:space="preserve"> </w:t>
      </w:r>
      <w:r>
        <w:rPr>
          <w:rFonts w:ascii="Times New Roman" w:hAnsi="Times New Roman"/>
          <w:sz w:val="28"/>
        </w:rPr>
        <w:t xml:space="preserve">Bootstrap Methods: Another Look at the Jackknife // Annals of Statistics. 1979. Vol. 7, no. 1. P. 1-26.</w:t>
      </w:r>
    </w:p>
    <w:p>
      <w:pPr>
        <w:pStyle w:val="BodyText"/>
      </w:pPr>
      <w:r>
        <w:rPr>
          <w:rFonts w:ascii="Times New Roman" w:hAnsi="Times New Roman"/>
          <w:sz w:val="28"/>
        </w:rPr>
        <w:t xml:space="preserve">Fisher 1925 –</w:t>
      </w:r>
      <w:r>
        <w:rPr>
          <w:rFonts w:ascii="Times New Roman" w:hAnsi="Times New Roman"/>
          <w:sz w:val="28"/>
        </w:rPr>
        <w:t xml:space="preserve"> </w:t>
      </w:r>
      <w:r>
        <w:rPr>
          <w:rFonts w:ascii="Times New Roman" w:hAnsi="Times New Roman"/>
          <w:i/>
          <w:iCs/>
          <w:sz w:val="28"/>
        </w:rPr>
        <w:t xml:space="preserve">Fisher, Ronald Aylmer.</w:t>
      </w:r>
      <w:r>
        <w:rPr>
          <w:rFonts w:ascii="Times New Roman" w:hAnsi="Times New Roman"/>
          <w:sz w:val="28"/>
        </w:rPr>
        <w:t xml:space="preserve"> </w:t>
      </w:r>
      <w:r>
        <w:rPr>
          <w:rFonts w:ascii="Times New Roman" w:hAnsi="Times New Roman"/>
          <w:sz w:val="28"/>
        </w:rPr>
        <w:t xml:space="preserve">Statistical Methods for Research Workers. Edinburgh: Oliver and Boyd, 1925.</w:t>
      </w:r>
    </w:p>
    <w:p>
      <w:pPr>
        <w:pStyle w:val="BodyText"/>
      </w:pPr>
      <w:r>
        <w:rPr>
          <w:rFonts w:ascii="Times New Roman" w:hAnsi="Times New Roman"/>
          <w:sz w:val="28"/>
        </w:rPr>
        <w:t xml:space="preserve">Gini 1912 –</w:t>
      </w:r>
      <w:r>
        <w:rPr>
          <w:rFonts w:ascii="Times New Roman" w:hAnsi="Times New Roman"/>
          <w:sz w:val="28"/>
        </w:rPr>
        <w:t xml:space="preserve"> </w:t>
      </w:r>
      <w:r>
        <w:rPr>
          <w:rFonts w:ascii="Times New Roman" w:hAnsi="Times New Roman"/>
          <w:i/>
          <w:iCs/>
          <w:sz w:val="28"/>
        </w:rPr>
        <w:t xml:space="preserve">Gini, Corrado.</w:t>
      </w:r>
      <w:r>
        <w:rPr>
          <w:rFonts w:ascii="Times New Roman" w:hAnsi="Times New Roman"/>
          <w:sz w:val="28"/>
        </w:rPr>
        <w:t xml:space="preserve"> </w:t>
      </w:r>
      <w:r>
        <w:rPr>
          <w:rFonts w:ascii="Times New Roman" w:hAnsi="Times New Roman"/>
          <w:sz w:val="28"/>
        </w:rPr>
        <w:t xml:space="preserve">Variabilità e mutabilità: contributo allo studio delle distribuzioni e delle relazioni statistiche. Bologna: Tipografia di Paolo Cuppini, 1912.</w:t>
      </w:r>
    </w:p>
    <w:p>
      <w:pPr>
        <w:pStyle w:val="BodyText"/>
      </w:pPr>
      <w:r>
        <w:rPr>
          <w:rFonts w:ascii="Times New Roman" w:hAnsi="Times New Roman"/>
          <w:sz w:val="28"/>
        </w:rPr>
        <w:t xml:space="preserve">Schreibman et al. 2004 –</w:t>
      </w:r>
      <w:r>
        <w:rPr>
          <w:rFonts w:ascii="Times New Roman" w:hAnsi="Times New Roman"/>
          <w:sz w:val="28"/>
        </w:rPr>
        <w:t xml:space="preserve"> </w:t>
      </w:r>
      <w:r>
        <w:rPr>
          <w:rFonts w:ascii="Times New Roman" w:hAnsi="Times New Roman"/>
          <w:i/>
          <w:iCs/>
          <w:sz w:val="28"/>
        </w:rPr>
        <w:t xml:space="preserve">Schreibman, Susan; Siemens, Ray; Unsworth, John</w:t>
      </w:r>
      <w:r>
        <w:rPr>
          <w:rFonts w:ascii="Times New Roman" w:hAnsi="Times New Roman"/>
          <w:sz w:val="28"/>
        </w:rPr>
        <w:t xml:space="preserve"> </w:t>
      </w:r>
      <w:r>
        <w:rPr>
          <w:rFonts w:ascii="Times New Roman" w:hAnsi="Times New Roman"/>
          <w:sz w:val="28"/>
        </w:rPr>
        <w:t xml:space="preserve">(eds.). A Companion to Digital Humanities. Oxford: Blackwell Publishing, 2004.</w:t>
      </w:r>
    </w:p>
    <w:p>
      <w:pPr>
        <w:pStyle w:val="BodyText"/>
      </w:pPr>
      <w:r>
        <w:rPr>
          <w:rFonts w:ascii="Times New Roman" w:hAnsi="Times New Roman"/>
          <w:sz w:val="28"/>
        </w:rPr>
        <w:t xml:space="preserve">Stone 1971 –</w:t>
      </w:r>
      <w:r>
        <w:rPr>
          <w:rFonts w:ascii="Times New Roman" w:hAnsi="Times New Roman"/>
          <w:sz w:val="28"/>
        </w:rPr>
        <w:t xml:space="preserve"> </w:t>
      </w:r>
      <w:r>
        <w:rPr>
          <w:rFonts w:ascii="Times New Roman" w:hAnsi="Times New Roman"/>
          <w:i/>
          <w:iCs/>
          <w:sz w:val="28"/>
        </w:rPr>
        <w:t xml:space="preserve">Stone, Lawrence.</w:t>
      </w:r>
      <w:r>
        <w:rPr>
          <w:rFonts w:ascii="Times New Roman" w:hAnsi="Times New Roman"/>
          <w:sz w:val="28"/>
        </w:rPr>
        <w:t xml:space="preserve"> </w:t>
      </w:r>
      <w:r>
        <w:rPr>
          <w:rFonts w:ascii="Times New Roman" w:hAnsi="Times New Roman"/>
          <w:sz w:val="28"/>
        </w:rPr>
        <w:t xml:space="preserve">Prosopography // Daedalus. 1971. Vol. 100, no. 1. P. 46-79.</w:t>
      </w:r>
    </w:p>
    <w:bookmarkEnd w:id="18"/>
    <w:bookmarkStart w:id="19" w:name="references"/>
    <w:p>
      <w:pPr>
        <w:pStyle w:val="Heading2"/>
      </w:pPr>
      <w:r>
        <w:rPr>
          <w:rFonts w:ascii="Times New Roman" w:hAnsi="Times New Roman"/>
          <w:sz w:val="28"/>
        </w:rPr>
        <w:t xml:space="preserve">References</w:t>
      </w:r>
    </w:p>
    <w:p>
      <w:pPr>
        <w:pStyle w:val="FirstParagraph"/>
      </w:pPr>
      <w:r>
        <w:rPr>
          <w:rFonts w:ascii="Times New Roman" w:hAnsi="Times New Roman"/>
          <w:sz w:val="28"/>
        </w:rPr>
        <w:t xml:space="preserve">Efron, Bradley. Bootstrap Methods: Another Look at the Jackknife.</w:t>
      </w:r>
      <w:r>
        <w:rPr>
          <w:rFonts w:ascii="Times New Roman" w:hAnsi="Times New Roman"/>
          <w:sz w:val="28"/>
        </w:rPr>
        <w:t xml:space="preserve"> </w:t>
      </w:r>
      <w:r>
        <w:rPr>
          <w:rFonts w:ascii="Times New Roman" w:hAnsi="Times New Roman"/>
          <w:i/>
          <w:iCs/>
          <w:sz w:val="28"/>
        </w:rPr>
        <w:t xml:space="preserve">Annals of Statistics</w:t>
      </w:r>
      <w:r>
        <w:rPr>
          <w:rFonts w:ascii="Times New Roman" w:hAnsi="Times New Roman"/>
          <w:sz w:val="28"/>
        </w:rPr>
        <w:t xml:space="preserve">. 1979. Vol. 7, no. 1. P. 1-26.</w:t>
      </w:r>
    </w:p>
    <w:p>
      <w:pPr>
        <w:pStyle w:val="BodyText"/>
      </w:pPr>
      <w:r>
        <w:rPr>
          <w:rFonts w:ascii="Times New Roman" w:hAnsi="Times New Roman"/>
          <w:sz w:val="28"/>
        </w:rPr>
        <w:t xml:space="preserve">Fisher, Ronald Aylmer.</w:t>
      </w:r>
      <w:r>
        <w:rPr>
          <w:rFonts w:ascii="Times New Roman" w:hAnsi="Times New Roman"/>
          <w:sz w:val="28"/>
        </w:rPr>
        <w:t xml:space="preserve"> </w:t>
      </w:r>
      <w:r>
        <w:rPr>
          <w:rFonts w:ascii="Times New Roman" w:hAnsi="Times New Roman"/>
          <w:i/>
          <w:iCs/>
          <w:sz w:val="28"/>
        </w:rPr>
        <w:t xml:space="preserve">Statistical Methods for Research Workers</w:t>
      </w:r>
      <w:r>
        <w:rPr>
          <w:rFonts w:ascii="Times New Roman" w:hAnsi="Times New Roman"/>
          <w:sz w:val="28"/>
        </w:rPr>
        <w:t xml:space="preserve">. Edinburgh: Oliver and Boyd, 1925.</w:t>
      </w:r>
    </w:p>
    <w:p>
      <w:pPr>
        <w:pStyle w:val="BodyText"/>
      </w:pPr>
      <w:r>
        <w:rPr>
          <w:rFonts w:ascii="Times New Roman" w:hAnsi="Times New Roman"/>
          <w:sz w:val="28"/>
        </w:rPr>
        <w:t xml:space="preserve">Gini, Corrado.</w:t>
      </w:r>
      <w:r>
        <w:rPr>
          <w:rFonts w:ascii="Times New Roman" w:hAnsi="Times New Roman"/>
          <w:sz w:val="28"/>
        </w:rPr>
        <w:t xml:space="preserve"> </w:t>
      </w:r>
      <w:r>
        <w:rPr>
          <w:rFonts w:ascii="Times New Roman" w:hAnsi="Times New Roman"/>
          <w:i/>
          <w:iCs/>
          <w:sz w:val="28"/>
        </w:rPr>
        <w:t xml:space="preserve">Variabilità e mutabilità: contributo allo studio delle distribuzioni e delle relazioni statistiche</w:t>
      </w:r>
      <w:r>
        <w:rPr>
          <w:rFonts w:ascii="Times New Roman" w:hAnsi="Times New Roman"/>
          <w:sz w:val="28"/>
        </w:rPr>
        <w:t xml:space="preserve">. Bologna: Tipografia di Paolo Cuppini, 1912. (In Italian)</w:t>
      </w:r>
    </w:p>
    <w:p>
      <w:pPr>
        <w:pStyle w:val="BodyText"/>
      </w:pPr>
      <w:r>
        <w:rPr>
          <w:rFonts w:ascii="Times New Roman" w:hAnsi="Times New Roman"/>
          <w:sz w:val="28"/>
        </w:rPr>
        <w:t xml:space="preserve">Schreibman, Susan; Siemens, Ray; Unsworth, John (eds.).</w:t>
      </w:r>
      <w:r>
        <w:rPr>
          <w:rFonts w:ascii="Times New Roman" w:hAnsi="Times New Roman"/>
          <w:sz w:val="28"/>
        </w:rPr>
        <w:t xml:space="preserve"> </w:t>
      </w:r>
      <w:r>
        <w:rPr>
          <w:rFonts w:ascii="Times New Roman" w:hAnsi="Times New Roman"/>
          <w:i/>
          <w:iCs/>
          <w:sz w:val="28"/>
        </w:rPr>
        <w:t xml:space="preserve">A Companion to Digital Humanities</w:t>
      </w:r>
      <w:r>
        <w:rPr>
          <w:rFonts w:ascii="Times New Roman" w:hAnsi="Times New Roman"/>
          <w:sz w:val="28"/>
        </w:rPr>
        <w:t xml:space="preserve">. Oxford: Blackwell Publishing, 2004.</w:t>
      </w:r>
    </w:p>
    <w:p>
      <w:pPr>
        <w:pStyle w:val="BodyText"/>
      </w:pPr>
      <w:r>
        <w:rPr>
          <w:rFonts w:ascii="Times New Roman" w:hAnsi="Times New Roman"/>
          <w:sz w:val="28"/>
        </w:rPr>
        <w:t xml:space="preserve">Stone, Lawrence. Prosopography.</w:t>
      </w:r>
      <w:r>
        <w:rPr>
          <w:rFonts w:ascii="Times New Roman" w:hAnsi="Times New Roman"/>
          <w:sz w:val="28"/>
        </w:rPr>
        <w:t xml:space="preserve"> </w:t>
      </w:r>
      <w:r>
        <w:rPr>
          <w:rFonts w:ascii="Times New Roman" w:hAnsi="Times New Roman"/>
          <w:i/>
          <w:iCs/>
          <w:sz w:val="28"/>
        </w:rPr>
        <w:t xml:space="preserve">Daedalus</w:t>
      </w:r>
      <w:r>
        <w:rPr>
          <w:rFonts w:ascii="Times New Roman" w:hAnsi="Times New Roman"/>
          <w:sz w:val="28"/>
        </w:rPr>
        <w:t xml:space="preserve">. 1971. Vol. 100, no. 1. P. 46-79.</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8"/>
    </w:rPr>
  </w:style>
  <w:style w:styleId="BodyText" w:type="paragraph">
    <w:name w:val="Body Text"/>
    <w:basedOn w:val="Normal"/>
    <w:link w:val="BodyTextChar"/>
    <w:qFormat/>
    <w:pPr>
      <w:spacing w:after="180" w:before="180"/>
    </w:pPr>
    <w:rPr>
      <w:rFonts w:ascii="Times New Roman" w:hAnsi="Times New Roman"/>
      <w:sz w:val="28"/>
    </w:rPr>
  </w:style>
  <w:style w:customStyle="1" w:styleId="FirstParagraph" w:type="paragraph">
    <w:name w:val="First Paragraph"/>
    <w:basedOn w:val="BodyText"/>
    <w:next w:val="BodyText"/>
    <w:qFormat/>
    <w:rPr>
      <w:rFonts w:ascii="Times New Roman" w:hAnsi="Times New Roman"/>
      <w:sz w:val="28"/>
    </w:rPr>
  </w:style>
  <w:style w:customStyle="1" w:styleId="Compact" w:type="paragraph">
    <w:name w:val="Compact"/>
    <w:basedOn w:val="BodyText"/>
    <w:qFormat/>
    <w:pPr>
      <w:spacing w:after="36" w:before="36"/>
    </w:pPr>
    <w:rPr>
      <w:rFonts w:ascii="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28"/>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8"/>
      <w:szCs w:val="24"/>
    </w:rPr>
  </w:style>
  <w:style w:styleId="Date" w:type="paragraph">
    <w:name w:val="Date"/>
    <w:basedOn w:val="Title"/>
    <w:next w:val="BodyText"/>
    <w:qFormat/>
    <w:pPr>
      <w:keepNext/>
      <w:keepLines/>
    </w:pPr>
    <w:rPr>
      <w:rFonts w:ascii="Times New Roman" w:hAnsi="Times New Roman"/>
      <w:sz w:val="28"/>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8"/>
      <w:szCs w:val="20"/>
    </w:rPr>
  </w:style>
  <w:style w:customStyle="1" w:styleId="Abstract" w:type="paragraph">
    <w:name w:val="Abstract"/>
    <w:basedOn w:val="Normal"/>
    <w:next w:val="BodyText"/>
    <w:qFormat/>
    <w:pPr>
      <w:keepNext/>
      <w:keepLines/>
      <w:spacing w:after="300" w:before="100"/>
    </w:pPr>
    <w:rPr>
      <w:rFonts w:ascii="Times New Roman" w:hAnsi="Times New Roman"/>
      <w:sz w:val="28"/>
      <w:szCs w:val="20"/>
    </w:rPr>
  </w:style>
  <w:style w:styleId="Bibliography" w:type="paragraph">
    <w:name w:val="Bibliography"/>
    <w:basedOn w:val="Normal"/>
    <w:next w:val="Bibliography"/>
    <w:qFormat/>
    <w:pPr/>
    <w:rPr>
      <w:rFonts w:ascii="Times New Roman" w:hAnsi="Times New Roman"/>
      <w:sz w:val="28"/>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sz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sz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themeColor="text1" w:themeTint="A6" w:val="595959"/>
      <w:sz w:val="28"/>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themeColor="text1" w:themeTint="D8" w:val="272727"/>
      <w:sz w:val="28"/>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themeColor="text1" w:themeTint="D8" w:val="272727"/>
      <w:sz w:val="28"/>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themeColor="accent1" w:themeShade="BF" w:val="0F4761"/>
      <w:sz w:val="28"/>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themeColor="accent1" w:themeShade="BF" w:val="0F4761"/>
      <w:sz w:val="28"/>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themeColor="accent1" w:themeShade="BF" w:val="0F4761"/>
      <w:sz w:val="28"/>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themeColor="accent1" w:themeShade="BF" w:val="0F4761"/>
      <w:sz w:val="28"/>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themeColor="text1" w:themeTint="A6" w:val="595959"/>
      <w:sz w:val="28"/>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themeColor="text1" w:themeTint="A6" w:val="595959"/>
      <w:sz w:val="28"/>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themeColor="text1" w:themeTint="D8" w:val="272727"/>
      <w:sz w:val="28"/>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themeColor="text1" w:themeTint="D8" w:val="272727"/>
      <w:sz w:val="28"/>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8"/>
    </w:rPr>
  </w:style>
  <w:style w:styleId="FootnoteText" w:type="paragraph">
    <w:name w:val="Footnote Text"/>
    <w:basedOn w:val="Normal"/>
    <w:next w:val="FootnoteText"/>
    <w:uiPriority w:val="9"/>
    <w:unhideWhenUsed/>
    <w:qFormat/>
    <w:rPr>
      <w:rFonts w:ascii="Times New Roman" w:hAnsi="Times New Roman"/>
      <w:sz w:val="28"/>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sz w:val="28"/>
    </w:rPr>
  </w:style>
  <w:style w:default="1" w:styleId="DefaultParagraphFont" w:type="character">
    <w:name w:val="Default Paragraph Font"/>
    <w:semiHidden/>
    <w:unhideWhenUsed/>
    <w:rPr>
      <w:rFonts w:ascii="Times New Roman" w:hAnsi="Times New Roman"/>
      <w:sz w:val="28"/>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sz w:val="28"/>
    </w:rPr>
  </w:style>
  <w:style w:customStyle="1" w:styleId="Definition" w:type="paragraph">
    <w:name w:val="Definition"/>
    <w:basedOn w:val="Normal"/>
    <w:rPr>
      <w:rFonts w:ascii="Times New Roman" w:hAnsi="Times New Roman"/>
      <w:sz w:val="28"/>
    </w:rPr>
  </w:style>
  <w:style w:styleId="Caption" w:type="paragraph">
    <w:name w:val="Caption"/>
    <w:basedOn w:val="Normal"/>
    <w:link w:val="BodyTextChar"/>
    <w:pPr>
      <w:spacing w:after="120" w:before="0"/>
    </w:pPr>
    <w:rPr>
      <w:rFonts w:ascii="Times New Roman" w:hAnsi="Times New Roman"/>
      <w:i/>
      <w:sz w:val="28"/>
    </w:rPr>
  </w:style>
  <w:style w:customStyle="1" w:styleId="TableCaption" w:type="paragraph">
    <w:name w:val="Table Caption"/>
    <w:basedOn w:val="Caption"/>
    <w:pPr>
      <w:keepNext/>
    </w:pPr>
    <w:rPr>
      <w:rFonts w:ascii="Times New Roman" w:hAnsi="Times New Roman"/>
      <w:sz w:val="28"/>
    </w:rPr>
  </w:style>
  <w:style w:customStyle="1" w:styleId="ImageCaption" w:type="paragraph">
    <w:name w:val="Image Caption"/>
    <w:basedOn w:val="Caption"/>
    <w:rPr>
      <w:rFonts w:ascii="Times New Roman" w:hAnsi="Times New Roman"/>
      <w:sz w:val="28"/>
    </w:rPr>
  </w:style>
  <w:style w:customStyle="1" w:styleId="Figure" w:type="paragraph">
    <w:name w:val="Figure"/>
    <w:basedOn w:val="Normal"/>
    <w:rPr>
      <w:rFonts w:ascii="Times New Roman" w:hAnsi="Times New Roman"/>
      <w:sz w:val="28"/>
    </w:rPr>
  </w:style>
  <w:style w:customStyle="1" w:styleId="CaptionedFigure" w:type="paragraph">
    <w:name w:val="Captioned Figure"/>
    <w:basedOn w:val="Figure"/>
    <w:pPr>
      <w:keepNext/>
    </w:pPr>
    <w:rPr>
      <w:rFonts w:ascii="Times New Roman" w:hAnsi="Times New Roman"/>
      <w:sz w:val="28"/>
    </w:rPr>
  </w:style>
  <w:style w:customStyle="1" w:styleId="BodyTextChar" w:type="character">
    <w:name w:val="Body Text Char"/>
    <w:basedOn w:val="DefaultParagraphFont"/>
    <w:link w:val="BodyText"/>
    <w:rPr>
      <w:rFonts w:ascii="Times New Roman" w:hAnsi="Times New Roman"/>
      <w:sz w:val="28"/>
    </w:rPr>
  </w:style>
  <w:style w:customStyle="1" w:styleId="VerbatimChar" w:type="character">
    <w:name w:val="Verbatim Char"/>
    <w:basedOn w:val="BodyTextChar"/>
    <w:rPr>
      <w:rFonts w:ascii="Times New Roman" w:hAnsi="Times New Roman"/>
      <w:sz w:val="28"/>
    </w:rPr>
  </w:style>
  <w:style w:customStyle="1" w:styleId="SectionNumber" w:type="character">
    <w:name w:val="Section Number"/>
    <w:basedOn w:val="BodyTextChar"/>
    <w:rPr>
      <w:rFonts w:ascii="Times New Roman" w:hAnsi="Times New Roman"/>
      <w:sz w:val="28"/>
    </w:rPr>
  </w:style>
  <w:style w:styleId="FootnoteReference" w:type="character">
    <w:name w:val="Footnote Reference"/>
    <w:basedOn w:val="BodyTextChar"/>
    <w:rPr>
      <w:rFonts w:ascii="Times New Roman" w:hAnsi="Times New Roman"/>
      <w:sz w:val="28"/>
      <w:vertAlign w:val="superscript"/>
    </w:rPr>
  </w:style>
  <w:style w:styleId="Hyperlink" w:type="character">
    <w:name w:val="Hyperlink"/>
    <w:basedOn w:val="BodyTextChar"/>
    <w:rPr>
      <w:rFonts w:ascii="Times New Roman" w:hAnsi="Times New Roman"/>
      <w:color w:themeColor="accent1" w:val="4F81BD"/>
      <w:sz w:val="28"/>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sz w:val="28"/>
    </w:rPr>
  </w:style>
  <w:style w:type="paragraph" w:customStyle="1" w:styleId="SourceCode">
    <w:name w:val="Source Code"/>
    <w:basedOn w:val="Normal"/>
    <w:link w:val="VerbatimChar"/>
    <w:pPr>
      <w:wordWrap w:val="off"/>
    </w:pPr>
    <w:rPr>
      <w:rFonts w:ascii="Times New Roman" w:hAnsi="Times New Roman"/>
      <w:sz w:val="28"/>
    </w:rPr>
  </w:style>
  <w:style w:type="character" w:customStyle="1" w:styleId="KeywordTok">
    <w:name w:val="KeywordTok"/>
    <w:basedOn w:val="VerbatimChar"/>
    <w:rPr>
      <w:rFonts w:ascii="Times New Roman" w:hAnsi="Times New Roman"/>
      <w:b/>
      <w:color w:val="007020"/>
      <w:sz w:val="28"/>
    </w:rPr>
  </w:style>
  <w:style w:type="character" w:customStyle="1" w:styleId="DataTypeTok">
    <w:name w:val="DataTypeTok"/>
    <w:basedOn w:val="VerbatimChar"/>
    <w:rPr>
      <w:rFonts w:ascii="Times New Roman" w:hAnsi="Times New Roman"/>
      <w:color w:val="902000"/>
      <w:sz w:val="28"/>
    </w:rPr>
  </w:style>
  <w:style w:type="character" w:customStyle="1" w:styleId="DecValTok">
    <w:name w:val="DecValTok"/>
    <w:basedOn w:val="VerbatimChar"/>
    <w:rPr>
      <w:rFonts w:ascii="Times New Roman" w:hAnsi="Times New Roman"/>
      <w:color w:val="40a070"/>
      <w:sz w:val="28"/>
    </w:rPr>
  </w:style>
  <w:style w:type="character" w:customStyle="1" w:styleId="BaseNTok">
    <w:name w:val="BaseNTok"/>
    <w:basedOn w:val="VerbatimChar"/>
    <w:rPr>
      <w:rFonts w:ascii="Times New Roman" w:hAnsi="Times New Roman"/>
      <w:color w:val="40a070"/>
      <w:sz w:val="28"/>
    </w:rPr>
  </w:style>
  <w:style w:type="character" w:customStyle="1" w:styleId="FloatTok">
    <w:name w:val="FloatTok"/>
    <w:basedOn w:val="VerbatimChar"/>
    <w:rPr>
      <w:rFonts w:ascii="Times New Roman" w:hAnsi="Times New Roman"/>
      <w:color w:val="40a070"/>
      <w:sz w:val="28"/>
    </w:rPr>
  </w:style>
  <w:style w:type="character" w:customStyle="1" w:styleId="ConstantTok">
    <w:name w:val="ConstantTok"/>
    <w:basedOn w:val="VerbatimChar"/>
    <w:rPr>
      <w:rFonts w:ascii="Times New Roman" w:hAnsi="Times New Roman"/>
      <w:color w:val="880000"/>
      <w:sz w:val="28"/>
    </w:rPr>
  </w:style>
  <w:style w:type="character" w:customStyle="1" w:styleId="CharTok">
    <w:name w:val="CharTok"/>
    <w:basedOn w:val="VerbatimChar"/>
    <w:rPr>
      <w:rFonts w:ascii="Times New Roman" w:hAnsi="Times New Roman"/>
      <w:color w:val="4070a0"/>
      <w:sz w:val="28"/>
    </w:rPr>
  </w:style>
  <w:style w:type="character" w:customStyle="1" w:styleId="SpecialCharTok">
    <w:name w:val="SpecialCharTok"/>
    <w:basedOn w:val="VerbatimChar"/>
    <w:rPr>
      <w:rFonts w:ascii="Times New Roman" w:hAnsi="Times New Roman"/>
      <w:color w:val="4070a0"/>
      <w:sz w:val="28"/>
    </w:rPr>
  </w:style>
  <w:style w:type="character" w:customStyle="1" w:styleId="StringTok">
    <w:name w:val="StringTok"/>
    <w:basedOn w:val="VerbatimChar"/>
    <w:rPr>
      <w:rFonts w:ascii="Times New Roman" w:hAnsi="Times New Roman"/>
      <w:color w:val="4070a0"/>
      <w:sz w:val="28"/>
    </w:rPr>
  </w:style>
  <w:style w:type="character" w:customStyle="1" w:styleId="VerbatimStringTok">
    <w:name w:val="VerbatimStringTok"/>
    <w:basedOn w:val="VerbatimChar"/>
    <w:rPr>
      <w:rFonts w:ascii="Times New Roman" w:hAnsi="Times New Roman"/>
      <w:color w:val="4070a0"/>
      <w:sz w:val="28"/>
    </w:rPr>
  </w:style>
  <w:style w:type="character" w:customStyle="1" w:styleId="SpecialStringTok">
    <w:name w:val="SpecialStringTok"/>
    <w:basedOn w:val="VerbatimChar"/>
    <w:rPr>
      <w:rFonts w:ascii="Times New Roman" w:hAnsi="Times New Roman"/>
      <w:color w:val="bb6688"/>
      <w:sz w:val="28"/>
    </w:rPr>
  </w:style>
  <w:style w:type="character" w:customStyle="1" w:styleId="ImportTok">
    <w:name w:val="ImportTok"/>
    <w:basedOn w:val="VerbatimChar"/>
    <w:rPr>
      <w:rFonts w:ascii="Times New Roman" w:hAnsi="Times New Roman"/>
      <w:b/>
      <w:color w:val="008000"/>
      <w:sz w:val="28"/>
    </w:rPr>
  </w:style>
  <w:style w:type="character" w:customStyle="1" w:styleId="CommentTok">
    <w:name w:val="CommentTok"/>
    <w:basedOn w:val="VerbatimChar"/>
    <w:rPr>
      <w:rFonts w:ascii="Times New Roman" w:hAnsi="Times New Roman"/>
      <w:i/>
      <w:color w:val="60a0b0"/>
      <w:sz w:val="28"/>
    </w:rPr>
  </w:style>
  <w:style w:type="character" w:customStyle="1" w:styleId="DocumentationTok">
    <w:name w:val="DocumentationTok"/>
    <w:basedOn w:val="VerbatimChar"/>
    <w:rPr>
      <w:rFonts w:ascii="Times New Roman" w:hAnsi="Times New Roman"/>
      <w:i/>
      <w:color w:val="ba2121"/>
      <w:sz w:val="28"/>
    </w:rPr>
  </w:style>
  <w:style w:type="character" w:customStyle="1" w:styleId="AnnotationTok">
    <w:name w:val="AnnotationTok"/>
    <w:basedOn w:val="VerbatimChar"/>
    <w:rPr>
      <w:rFonts w:ascii="Times New Roman" w:hAnsi="Times New Roman"/>
      <w:b/>
      <w:i/>
      <w:color w:val="60a0b0"/>
      <w:sz w:val="28"/>
    </w:rPr>
  </w:style>
  <w:style w:type="character" w:customStyle="1" w:styleId="CommentVarTok">
    <w:name w:val="CommentVarTok"/>
    <w:basedOn w:val="VerbatimChar"/>
    <w:rPr>
      <w:rFonts w:ascii="Times New Roman" w:hAnsi="Times New Roman"/>
      <w:b/>
      <w:i/>
      <w:color w:val="60a0b0"/>
      <w:sz w:val="28"/>
    </w:rPr>
  </w:style>
  <w:style w:type="character" w:customStyle="1" w:styleId="OtherTok">
    <w:name w:val="OtherTok"/>
    <w:basedOn w:val="VerbatimChar"/>
    <w:rPr>
      <w:rFonts w:ascii="Times New Roman" w:hAnsi="Times New Roman"/>
      <w:color w:val="007020"/>
      <w:sz w:val="28"/>
    </w:rPr>
  </w:style>
  <w:style w:type="character" w:customStyle="1" w:styleId="FunctionTok">
    <w:name w:val="FunctionTok"/>
    <w:basedOn w:val="VerbatimChar"/>
    <w:rPr>
      <w:rFonts w:ascii="Times New Roman" w:hAnsi="Times New Roman"/>
      <w:color w:val="06287e"/>
      <w:sz w:val="28"/>
    </w:rPr>
  </w:style>
  <w:style w:type="character" w:customStyle="1" w:styleId="VariableTok">
    <w:name w:val="VariableTok"/>
    <w:basedOn w:val="VerbatimChar"/>
    <w:rPr>
      <w:rFonts w:ascii="Times New Roman" w:hAnsi="Times New Roman"/>
      <w:color w:val="19177c"/>
      <w:sz w:val="28"/>
    </w:rPr>
  </w:style>
  <w:style w:type="character" w:customStyle="1" w:styleId="ControlFlowTok">
    <w:name w:val="ControlFlowTok"/>
    <w:basedOn w:val="VerbatimChar"/>
    <w:rPr>
      <w:rFonts w:ascii="Times New Roman" w:hAnsi="Times New Roman"/>
      <w:b/>
      <w:color w:val="007020"/>
      <w:sz w:val="28"/>
    </w:rPr>
  </w:style>
  <w:style w:type="character" w:customStyle="1" w:styleId="OperatorTok">
    <w:name w:val="OperatorTok"/>
    <w:basedOn w:val="VerbatimChar"/>
    <w:rPr>
      <w:rFonts w:ascii="Times New Roman" w:hAnsi="Times New Roman"/>
      <w:color w:val="666666"/>
      <w:sz w:val="28"/>
    </w:rPr>
  </w:style>
  <w:style w:type="character" w:customStyle="1" w:styleId="BuiltInTok">
    <w:name w:val="BuiltInTok"/>
    <w:basedOn w:val="VerbatimChar"/>
    <w:rPr>
      <w:rFonts w:ascii="Times New Roman" w:hAnsi="Times New Roman"/>
      <w:color w:val="008000"/>
      <w:sz w:val="28"/>
    </w:rPr>
  </w:style>
  <w:style w:type="character" w:customStyle="1" w:styleId="ExtensionTok">
    <w:name w:val="ExtensionTok"/>
    <w:basedOn w:val="VerbatimChar"/>
    <w:rPr>
      <w:rFonts w:ascii="Times New Roman" w:hAnsi="Times New Roman"/>
      <w:sz w:val="28"/>
    </w:rPr>
  </w:style>
  <w:style w:type="character" w:customStyle="1" w:styleId="PreprocessorTok">
    <w:name w:val="PreprocessorTok"/>
    <w:basedOn w:val="VerbatimChar"/>
    <w:rPr>
      <w:rFonts w:ascii="Times New Roman" w:hAnsi="Times New Roman"/>
      <w:color w:val="bc7a00"/>
      <w:sz w:val="28"/>
    </w:rPr>
  </w:style>
  <w:style w:type="character" w:customStyle="1" w:styleId="AttributeTok">
    <w:name w:val="AttributeTok"/>
    <w:basedOn w:val="VerbatimChar"/>
    <w:rPr>
      <w:rFonts w:ascii="Times New Roman" w:hAnsi="Times New Roman"/>
      <w:color w:val="7d9029"/>
      <w:sz w:val="28"/>
    </w:rPr>
  </w:style>
  <w:style w:type="character" w:customStyle="1" w:styleId="RegionMarkerTok">
    <w:name w:val="RegionMarkerTok"/>
    <w:basedOn w:val="VerbatimChar"/>
    <w:rPr>
      <w:rFonts w:ascii="Times New Roman" w:hAnsi="Times New Roman"/>
      <w:sz w:val="28"/>
    </w:rPr>
  </w:style>
  <w:style w:type="character" w:customStyle="1" w:styleId="InformationTok">
    <w:name w:val="InformationTok"/>
    <w:basedOn w:val="VerbatimChar"/>
    <w:rPr>
      <w:rFonts w:ascii="Times New Roman" w:hAnsi="Times New Roman"/>
      <w:b/>
      <w:i/>
      <w:color w:val="60a0b0"/>
      <w:sz w:val="28"/>
    </w:rPr>
  </w:style>
  <w:style w:type="character" w:customStyle="1" w:styleId="WarningTok">
    <w:name w:val="WarningTok"/>
    <w:basedOn w:val="VerbatimChar"/>
    <w:rPr>
      <w:rFonts w:ascii="Times New Roman" w:hAnsi="Times New Roman"/>
      <w:b/>
      <w:i/>
      <w:color w:val="60a0b0"/>
      <w:sz w:val="28"/>
    </w:rPr>
  </w:style>
  <w:style w:type="character" w:customStyle="1" w:styleId="AlertTok">
    <w:name w:val="AlertTok"/>
    <w:basedOn w:val="VerbatimChar"/>
    <w:rPr>
      <w:rFonts w:ascii="Times New Roman" w:hAnsi="Times New Roman"/>
      <w:b/>
      <w:color w:val="ff0000"/>
      <w:sz w:val="28"/>
    </w:rPr>
  </w:style>
  <w:style w:type="character" w:customStyle="1" w:styleId="ErrorTok">
    <w:name w:val="ErrorTok"/>
    <w:basedOn w:val="VerbatimChar"/>
    <w:rPr>
      <w:rFonts w:ascii="Times New Roman" w:hAnsi="Times New Roman"/>
      <w:b/>
      <w:color w:val="ff0000"/>
      <w:sz w:val="28"/>
    </w:rPr>
  </w:style>
  <w:style w:type="character" w:customStyle="1" w:styleId="NormalTok">
    <w:name w:val="NormalTok"/>
    <w:basedOn w:val="VerbatimChar"/>
    <w:rPr>
      <w:rFonts w:ascii="Times New Roman" w:hAnsi="Times New Roman"/>
      <w:sz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2026-05-24T13:08:25Z</dcterms:created>
  <dcterms:modified xsi:type="dcterms:W3CDTF">2026-05-24T13:08:25Z</dcterms:modified>
</cp:coreProperties>
</file>

<file path=docProps/custom.xml><?xml version="1.0" encoding="utf-8"?>
<Properties xmlns="http://schemas.openxmlformats.org/officeDocument/2006/custom-properties" xmlns:vt="http://schemas.openxmlformats.org/officeDocument/2006/docPropsVTypes"/>
</file>