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808d1e279263fc644c70e5d4718a6d22ecaeb5"/>
    <w:p>
      <w:pPr>
        <w:pStyle w:val="Heading1"/>
      </w:pPr>
      <w:r>
        <w:rPr>
          <w:rFonts w:ascii="Times New Roman" w:hAnsi="Times New Roman"/>
          <w:sz w:val="28"/>
        </w:rPr>
        <w:t xml:space="preserve">Что не вошло в подачную версию статьи для ППВ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Версия: 2026-05-24.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Связанный файл:</w:t>
      </w:r>
      <w:r>
        <w:rPr>
          <w:rFonts w:ascii="Times New Roman" w:hAnsi="Times New Roman"/>
          <w:sz w:val="28"/>
        </w:rPr>
        <w:t xml:space="preserve"> </w:t>
      </w:r>
      <w:r>
        <w:rPr>
          <w:rStyle w:val="VerbatimChar"/>
          <w:rFonts w:ascii="Times New Roman" w:hAnsi="Times New Roman"/>
          <w:sz w:val="28"/>
        </w:rPr>
        <w:t xml:space="preserve">article/ppv_submission_article.md</w:t>
      </w:r>
      <w:r>
        <w:rPr>
          <w:rFonts w:ascii="Times New Roman" w:hAnsi="Times New Roman"/>
          <w:sz w:val="28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8"/>
        </w:rPr>
        <w:t xml:space="preserve">Новая подачная версия написана как самостоятельная статья под лимит ППВ: до 40 000 знаков для исследовательской статьи, с короткими аннотациями, ограниченным списком литературы и без приложений в теле рукописи. Старый</w:t>
      </w:r>
      <w:r>
        <w:rPr>
          <w:rFonts w:ascii="Times New Roman" w:hAnsi="Times New Roman"/>
          <w:sz w:val="28"/>
        </w:rPr>
        <w:t xml:space="preserve"> </w:t>
      </w:r>
      <w:r>
        <w:rPr>
          <w:rStyle w:val="VerbatimChar"/>
          <w:rFonts w:ascii="Times New Roman" w:hAnsi="Times New Roman"/>
          <w:sz w:val="28"/>
        </w:rPr>
        <w:t xml:space="preserve">ppv_draft.md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сохранен как расширенный рабочий драфт и архив всех проверок.</w:t>
      </w:r>
    </w:p>
    <w:bookmarkStart w:id="9" w:name="что-осталось-в-итоговой-статье"/>
    <w:p>
      <w:pPr>
        <w:pStyle w:val="Heading2"/>
      </w:pPr>
      <w:r>
        <w:rPr>
          <w:rFonts w:ascii="Times New Roman" w:hAnsi="Times New Roman"/>
          <w:sz w:val="28"/>
        </w:rPr>
        <w:t xml:space="preserve">1. Что осталось в итоговой статье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Оставлены только самые сильные или неожиданные результаты: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  <w:sz w:val="28"/>
        </w:rPr>
        <w:t xml:space="preserve">Слабое межплощадочное пересечение.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 обеих площадках выступали 38 ученых, тогда как нулевая модель ожидает около 104. Это главный количественный результат.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  <w:sz w:val="28"/>
        </w:rPr>
        <w:t xml:space="preserve">Две разные конференционные среды.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Рериховские чтения компактнее, Зографские шире по числу участников и входов.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  <w:sz w:val="28"/>
        </w:rPr>
        <w:t xml:space="preserve">Устойчивая тематическая асимметрия.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L1 и L2 значимо различаются; Рерих сильнее концентрируется на классико-средневековом корпусе, Зограф шире по хронологии.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  <w:sz w:val="28"/>
        </w:rPr>
        <w:t xml:space="preserve">Город вместо учреждения как формат источника.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94.7% city-only записей у Зографа против 13.0% у Рериха; это нельзя читать как биографическую внеинституциональность.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  <w:sz w:val="28"/>
        </w:rPr>
        <w:t xml:space="preserve">Микрокейс как норма.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G1 = 852 из 895 докладов; G2 = 37; G3 = 6.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  <w:sz w:val="28"/>
        </w:rPr>
        <w:t xml:space="preserve">Обобщения как редкий и поколенчески маркированный жанр.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Для G3 медианный возраст автора 66 лет, 4 из 6 случаев старше 60.</w:t>
      </w:r>
    </w:p>
    <w:bookmarkEnd w:id="9"/>
    <w:bookmarkStart w:id="12" w:name="что-не-вошло-из-за-объема"/>
    <w:p>
      <w:pPr>
        <w:pStyle w:val="Heading2"/>
      </w:pPr>
      <w:r>
        <w:rPr>
          <w:rFonts w:ascii="Times New Roman" w:hAnsi="Times New Roman"/>
          <w:sz w:val="28"/>
        </w:rPr>
        <w:t xml:space="preserve">2. Что не вошло из-за объема</w:t>
      </w:r>
    </w:p>
    <w:bookmarkStart w:id="10" w:name="полные-приложения"/>
    <w:p>
      <w:pPr>
        <w:pStyle w:val="Heading3"/>
      </w:pPr>
      <w:r>
        <w:rPr>
          <w:rFonts w:ascii="Times New Roman" w:hAnsi="Times New Roman"/>
          <w:sz w:val="28"/>
        </w:rPr>
        <w:t xml:space="preserve">Полные приложения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Не включены: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/>
          <w:sz w:val="28"/>
        </w:rPr>
        <w:t xml:space="preserve">Приложение А с полным списком 38 участников перекрестной когорты.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/>
          <w:sz w:val="28"/>
        </w:rPr>
        <w:t xml:space="preserve">Приложение Б с погодовой статистикой.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/>
          <w:sz w:val="28"/>
        </w:rPr>
        <w:t xml:space="preserve">Приложение В с распределениями L1/L2/L4 и выборкой 30 докладов.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/>
          <w:sz w:val="28"/>
        </w:rPr>
        <w:t xml:space="preserve">Приложение Г со всеми статистическими проверками и таблицами доверительных интервалов.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Причина: приложения превращают статью в корпусную публикацию и сразу выводят ее за лимит 40 000 знаков. Их лучше оформить как онлайн-суплемент на GitHub Pages или Zenodo/OSF с DOI.</w:t>
      </w:r>
    </w:p>
    <w:bookmarkEnd w:id="10"/>
    <w:bookmarkStart w:id="11" w:name="полная-нумерация-гипотез-н1-н35"/>
    <w:p>
      <w:pPr>
        <w:pStyle w:val="Heading3"/>
      </w:pPr>
      <w:r>
        <w:rPr>
          <w:rFonts w:ascii="Times New Roman" w:hAnsi="Times New Roman"/>
          <w:sz w:val="28"/>
        </w:rPr>
        <w:t xml:space="preserve">Полная нумерация гипотез Н1-Н35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Не включен полный каталог Н1-Н35. В статье сохранены только те гипотезы, которые работают на центральный аргумент. Остальные лучше оставить в рабочем отчете или сделать отдельной методической публикацией.</w:t>
      </w:r>
    </w:p>
    <w:p>
      <w:pPr>
        <w:pStyle w:val="BodyText"/>
      </w:pPr>
      <w:r>
        <w:rPr>
          <w:rFonts w:ascii="Times New Roman" w:hAnsi="Times New Roman"/>
          <w:sz w:val="28"/>
        </w:rPr>
        <w:t xml:space="preserve">Особенно сокращены: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/>
          <w:sz w:val="28"/>
        </w:rPr>
        <w:t xml:space="preserve">Н16 о 2020 г. как онлайн-эпизоде.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/>
          <w:sz w:val="28"/>
        </w:rPr>
        <w:t xml:space="preserve">Н17 о тематической специализации и удержании.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/>
          <w:sz w:val="28"/>
        </w:rPr>
        <w:t xml:space="preserve">Н18 о тематическом переносе перекрестных участников.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/>
          <w:sz w:val="28"/>
        </w:rPr>
        <w:t xml:space="preserve">Н20-Н25 о жанре заголовка, видеоархиве и статусе участника.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/>
          <w:sz w:val="28"/>
        </w:rPr>
        <w:t xml:space="preserve">Н27-Н34 как детальные разрезы гумилевской шкалы.</w:t>
      </w:r>
    </w:p>
    <w:bookmarkEnd w:id="11"/>
    <w:bookmarkEnd w:id="12"/>
    <w:bookmarkStart w:id="17" w:name="Xa45f2159edd3a0399f735bc871e3dee4501b530"/>
    <w:p>
      <w:pPr>
        <w:pStyle w:val="Heading2"/>
      </w:pPr>
      <w:r>
        <w:rPr>
          <w:rFonts w:ascii="Times New Roman" w:hAnsi="Times New Roman"/>
          <w:sz w:val="28"/>
        </w:rPr>
        <w:t xml:space="preserve">3. Что не вошло из-за слабости или предварительности результата</w:t>
      </w:r>
    </w:p>
    <w:bookmarkStart w:id="13" w:name="смена-оргкомитета-зографских-чтений"/>
    <w:p>
      <w:pPr>
        <w:pStyle w:val="Heading3"/>
      </w:pPr>
      <w:r>
        <w:rPr>
          <w:rFonts w:ascii="Times New Roman" w:hAnsi="Times New Roman"/>
          <w:sz w:val="28"/>
        </w:rPr>
        <w:t xml:space="preserve">Смена оргкомитета Зографских чтений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В старом драфте есть результат о периоде 2025-2026 гг.: дисциплинарная структура L1 и приток новичков не меняются значимо, но L2 показывает сдвиг по хронологическим периодам. В подачную статью это не включено.</w:t>
      </w:r>
    </w:p>
    <w:p>
      <w:pPr>
        <w:pStyle w:val="BodyText"/>
      </w:pPr>
      <w:r>
        <w:rPr>
          <w:rFonts w:ascii="Times New Roman" w:hAnsi="Times New Roman"/>
          <w:sz w:val="28"/>
        </w:rPr>
        <w:t xml:space="preserve">Причина: период слишком короткий, 2026 г. предварителен, а результат легко выглядит как ситуативная полемика. Это лучше оставить для последующего наблюдения после полной фиксации нескольких следующих программ.</w:t>
      </w:r>
    </w:p>
    <w:bookmarkEnd w:id="13"/>
    <w:bookmarkStart w:id="14" w:name="онлайн-формат-2020-г."/>
    <w:p>
      <w:pPr>
        <w:pStyle w:val="Heading3"/>
      </w:pPr>
      <w:r>
        <w:rPr>
          <w:rFonts w:ascii="Times New Roman" w:hAnsi="Times New Roman"/>
          <w:sz w:val="28"/>
        </w:rPr>
        <w:t xml:space="preserve">Онлайн-формат 2020 г.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Проверка показала, что дебютанты 2020 г. не возвращались устойчивее соседних когорт. Это полезная отрицательная проверка, но она не является центральной для компактной статьи.</w:t>
      </w:r>
    </w:p>
    <w:p>
      <w:pPr>
        <w:pStyle w:val="BodyText"/>
      </w:pPr>
      <w:r>
        <w:rPr>
          <w:rFonts w:ascii="Times New Roman" w:hAnsi="Times New Roman"/>
          <w:sz w:val="28"/>
        </w:rPr>
        <w:t xml:space="preserve">Статус: можно упомянуть в будущей статье о пандемийном влиянии на конференционную жизнь.</w:t>
      </w:r>
    </w:p>
    <w:bookmarkEnd w:id="14"/>
    <w:bookmarkStart w:id="15" w:name="сериализация-докладов-salami-slicing"/>
    <w:p>
      <w:pPr>
        <w:pStyle w:val="Heading3"/>
      </w:pPr>
      <w:r>
        <w:rPr>
          <w:rFonts w:ascii="Times New Roman" w:hAnsi="Times New Roman"/>
          <w:sz w:val="28"/>
        </w:rPr>
        <w:t xml:space="preserve">Сериализация докладов / salami slicing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Результат важен как отрицательная проверка: сериализация редка и не различается значимо между ядром и периферией. Но в сжатой версии он отвлекает от главного аргумента.</w:t>
      </w:r>
    </w:p>
    <w:p>
      <w:pPr>
        <w:pStyle w:val="BodyText"/>
      </w:pPr>
      <w:r>
        <w:rPr>
          <w:rFonts w:ascii="Times New Roman" w:hAnsi="Times New Roman"/>
          <w:sz w:val="28"/>
        </w:rPr>
        <w:t xml:space="preserve">Статус: оставить в рабочем драфте и в онлайн-суплементе.</w:t>
      </w:r>
    </w:p>
    <w:bookmarkEnd w:id="15"/>
    <w:bookmarkStart w:id="16" w:name="фракционный-институциональный-счет"/>
    <w:p>
      <w:pPr>
        <w:pStyle w:val="Heading3"/>
      </w:pPr>
      <w:r>
        <w:rPr>
          <w:rFonts w:ascii="Times New Roman" w:hAnsi="Times New Roman"/>
          <w:sz w:val="28"/>
        </w:rPr>
        <w:t xml:space="preserve">Фракционный институциональный счет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Фракционный и простой счет почти не различаются из-за крайне низкой доли соавторства и мультиаффилиаций.</w:t>
      </w:r>
    </w:p>
    <w:p>
      <w:pPr>
        <w:pStyle w:val="BodyText"/>
      </w:pPr>
      <w:r>
        <w:rPr>
          <w:rFonts w:ascii="Times New Roman" w:hAnsi="Times New Roman"/>
          <w:sz w:val="28"/>
        </w:rPr>
        <w:t xml:space="preserve">Статус: методическая деталь, не нужна в короткой статье.</w:t>
      </w:r>
    </w:p>
    <w:bookmarkEnd w:id="16"/>
    <w:bookmarkEnd w:id="17"/>
    <w:bookmarkStart w:id="21" w:name="X7e0de5b8ecf18e961202feeb04ee69acf6379ed"/>
    <w:p>
      <w:pPr>
        <w:pStyle w:val="Heading2"/>
      </w:pPr>
      <w:r>
        <w:rPr>
          <w:rFonts w:ascii="Times New Roman" w:hAnsi="Times New Roman"/>
          <w:sz w:val="28"/>
        </w:rPr>
        <w:t xml:space="preserve">4. Что не вошло из-за необходимости внешнего слоя данных</w:t>
      </w:r>
    </w:p>
    <w:bookmarkStart w:id="18" w:name="Xb65966b7ff6a196b5ac497fe533109daf99d762"/>
    <w:p>
      <w:pPr>
        <w:pStyle w:val="Heading3"/>
      </w:pPr>
      <w:r>
        <w:rPr>
          <w:rFonts w:ascii="Times New Roman" w:hAnsi="Times New Roman"/>
          <w:sz w:val="28"/>
        </w:rPr>
        <w:t xml:space="preserve">Периферийные участники и неуниверситетская занятость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В пользовательской формулировке важна гипотеза: периферийные участники чаще не работают в вузах, за исключением Пензы. Текущая база не может это доказать, потому что строки программ часто дают только город.</w:t>
      </w:r>
    </w:p>
    <w:p>
      <w:pPr>
        <w:pStyle w:val="BodyText"/>
      </w:pPr>
      <w:r>
        <w:rPr>
          <w:rFonts w:ascii="Times New Roman" w:hAnsi="Times New Roman"/>
          <w:sz w:val="28"/>
        </w:rPr>
        <w:t xml:space="preserve">Что нужно для проверки: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/>
          <w:sz w:val="28"/>
        </w:rPr>
        <w:t xml:space="preserve">authority-таблица по участникам;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/>
          <w:sz w:val="28"/>
        </w:rPr>
        <w:t xml:space="preserve">тип занятости: университет, академический институт, музей, школа, независимый исследователь, city-only/unknown;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/>
          <w:sz w:val="28"/>
        </w:rPr>
        <w:t xml:space="preserve">источник верификации;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/>
          <w:sz w:val="28"/>
        </w:rPr>
        <w:t xml:space="preserve">год или интервал действия аффилиации;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/>
          <w:sz w:val="28"/>
        </w:rPr>
        <w:t xml:space="preserve">уровень уверенности.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Статус: отдельный будущий слой данных. В подачной статье оставлена только методическая оговорка: city-only не равно реальное отсутствие учреждения.</w:t>
      </w:r>
    </w:p>
    <w:bookmarkEnd w:id="18"/>
    <w:bookmarkStart w:id="19" w:name="гендерные-различия"/>
    <w:p>
      <w:pPr>
        <w:pStyle w:val="Heading3"/>
      </w:pPr>
      <w:r>
        <w:rPr>
          <w:rFonts w:ascii="Times New Roman" w:hAnsi="Times New Roman"/>
          <w:sz w:val="28"/>
        </w:rPr>
        <w:t xml:space="preserve">Гендерные различия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Гипотеза о различиях по полу/гендеру не включена.</w:t>
      </w:r>
    </w:p>
    <w:p>
      <w:pPr>
        <w:pStyle w:val="BodyText"/>
      </w:pPr>
      <w:r>
        <w:rPr>
          <w:rFonts w:ascii="Times New Roman" w:hAnsi="Times New Roman"/>
          <w:sz w:val="28"/>
        </w:rPr>
        <w:t xml:space="preserve">Причина: в базе нет надежного верифицированного поля, а автоматическое присвоение по имени методически и этически рискованно.</w:t>
      </w:r>
    </w:p>
    <w:bookmarkEnd w:id="19"/>
    <w:bookmarkStart w:id="20" w:name="публикационная-конверсия-докладов"/>
    <w:p>
      <w:pPr>
        <w:pStyle w:val="Heading3"/>
      </w:pPr>
      <w:r>
        <w:rPr>
          <w:rFonts w:ascii="Times New Roman" w:hAnsi="Times New Roman"/>
          <w:sz w:val="28"/>
        </w:rPr>
        <w:t xml:space="preserve">Публикационная конверсия докладов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Не включена гипотеза о том, какие доклады затем стали статьями в сборниках или журналах.</w:t>
      </w:r>
    </w:p>
    <w:p>
      <w:pPr>
        <w:pStyle w:val="BodyText"/>
      </w:pPr>
      <w:r>
        <w:rPr>
          <w:rFonts w:ascii="Times New Roman" w:hAnsi="Times New Roman"/>
          <w:sz w:val="28"/>
        </w:rPr>
        <w:t xml:space="preserve">Причина: PDF-источники пока привязаны к постам и выпускам, а не к конкретным докладам. Нужен отдельный парсинг оглавлений и сопоставление заголовков.</w:t>
      </w:r>
    </w:p>
    <w:bookmarkEnd w:id="20"/>
    <w:bookmarkEnd w:id="21"/>
    <w:bookmarkStart w:id="24" w:name="что-не-вошло-из-микросайта"/>
    <w:p>
      <w:pPr>
        <w:pStyle w:val="Heading2"/>
      </w:pPr>
      <w:r>
        <w:rPr>
          <w:rFonts w:ascii="Times New Roman" w:hAnsi="Times New Roman"/>
          <w:sz w:val="28"/>
        </w:rPr>
        <w:t xml:space="preserve">5. Что не вошло из микросайта</w:t>
      </w:r>
    </w:p>
    <w:bookmarkStart w:id="22" w:name="youtube"/>
    <w:p>
      <w:pPr>
        <w:pStyle w:val="Heading3"/>
      </w:pPr>
      <w:r>
        <w:rPr>
          <w:rFonts w:ascii="Times New Roman" w:hAnsi="Times New Roman"/>
          <w:sz w:val="28"/>
        </w:rPr>
        <w:t xml:space="preserve">YouTube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В статье оставлена только короткая ремарка, что видеоссылки не меняют микрокейсовый вывод. Не включены: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sz w:val="28"/>
        </w:rPr>
        <w:t xml:space="preserve">полный список 178 YouTube-записей;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sz w:val="28"/>
        </w:rPr>
        <w:t xml:space="preserve">89 auto-сопоставлений;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sz w:val="28"/>
        </w:rPr>
        <w:t xml:space="preserve">65 needs_review;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sz w:val="28"/>
        </w:rPr>
        <w:t xml:space="preserve">страницы</w:t>
      </w:r>
      <w:r>
        <w:rPr>
          <w:rFonts w:ascii="Times New Roman" w:hAnsi="Times New Roman"/>
          <w:sz w:val="28"/>
        </w:rPr>
        <w:t xml:space="preserve"> </w:t>
      </w:r>
      <w:r>
        <w:rPr>
          <w:rStyle w:val="VerbatimChar"/>
          <w:rFonts w:ascii="Times New Roman" w:hAnsi="Times New Roman"/>
          <w:sz w:val="28"/>
        </w:rPr>
        <w:t xml:space="preserve">videos/</w:t>
      </w:r>
      <w:r>
        <w:rPr>
          <w:rFonts w:ascii="Times New Roman" w:hAnsi="Times New Roman"/>
          <w:sz w:val="28"/>
        </w:rP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sz w:val="28"/>
        </w:rPr>
        <w:t xml:space="preserve">годовые страницы 2023, 2024, 2025;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sz w:val="28"/>
        </w:rPr>
        <w:t xml:space="preserve">подробная проверка видео-покрытия по темам и участникам.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Причина: видеоархив является отдельным слоем публичной видимости и заслуживает отдельной короткой статьи или онлайн-приложения.</w:t>
      </w:r>
    </w:p>
    <w:bookmarkEnd w:id="22"/>
    <w:bookmarkStart w:id="23" w:name="страницы-гумилева"/>
    <w:p>
      <w:pPr>
        <w:pStyle w:val="Heading3"/>
      </w:pPr>
      <w:r>
        <w:rPr>
          <w:rFonts w:ascii="Times New Roman" w:hAnsi="Times New Roman"/>
          <w:sz w:val="28"/>
        </w:rPr>
        <w:t xml:space="preserve">Страницы Гумилева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В статье использована шкала G1-G3 как аналитический результат, но не включены: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/>
          <w:sz w:val="28"/>
        </w:rPr>
        <w:t xml:space="preserve">отдельные страницы</w:t>
      </w:r>
      <w:r>
        <w:rPr>
          <w:rFonts w:ascii="Times New Roman" w:hAnsi="Times New Roman"/>
          <w:sz w:val="28"/>
        </w:rPr>
        <w:t xml:space="preserve"> </w:t>
      </w:r>
      <w:r>
        <w:rPr>
          <w:rStyle w:val="VerbatimChar"/>
          <w:rFonts w:ascii="Times New Roman" w:hAnsi="Times New Roman"/>
          <w:sz w:val="28"/>
        </w:rPr>
        <w:t xml:space="preserve">gumilyov/level-1.html</w:t>
      </w:r>
      <w:r>
        <w:rPr>
          <w:rFonts w:ascii="Times New Roman" w:hAnsi="Times New Roman"/>
          <w:sz w:val="28"/>
        </w:rPr>
        <w:t xml:space="preserve">,</w:t>
      </w:r>
      <w:r>
        <w:rPr>
          <w:rFonts w:ascii="Times New Roman" w:hAnsi="Times New Roman"/>
          <w:sz w:val="28"/>
        </w:rPr>
        <w:t xml:space="preserve"> </w:t>
      </w:r>
      <w:r>
        <w:rPr>
          <w:rStyle w:val="VerbatimChar"/>
          <w:rFonts w:ascii="Times New Roman" w:hAnsi="Times New Roman"/>
          <w:sz w:val="28"/>
        </w:rPr>
        <w:t xml:space="preserve">level-2.html</w:t>
      </w:r>
      <w:r>
        <w:rPr>
          <w:rFonts w:ascii="Times New Roman" w:hAnsi="Times New Roman"/>
          <w:sz w:val="28"/>
        </w:rPr>
        <w:t xml:space="preserve">,</w:t>
      </w:r>
      <w:r>
        <w:rPr>
          <w:rFonts w:ascii="Times New Roman" w:hAnsi="Times New Roman"/>
          <w:sz w:val="28"/>
        </w:rPr>
        <w:t xml:space="preserve"> </w:t>
      </w:r>
      <w:r>
        <w:rPr>
          <w:rStyle w:val="VerbatimChar"/>
          <w:rFonts w:ascii="Times New Roman" w:hAnsi="Times New Roman"/>
          <w:sz w:val="28"/>
        </w:rPr>
        <w:t xml:space="preserve">level-3.html</w:t>
      </w:r>
      <w:r>
        <w:rPr>
          <w:rFonts w:ascii="Times New Roman" w:hAnsi="Times New Roman"/>
          <w:sz w:val="28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/>
          <w:sz w:val="28"/>
        </w:rPr>
        <w:t xml:space="preserve">полная таблица</w:t>
      </w:r>
      <w:r>
        <w:rPr>
          <w:rFonts w:ascii="Times New Roman" w:hAnsi="Times New Roman"/>
          <w:sz w:val="28"/>
        </w:rPr>
        <w:t xml:space="preserve"> </w:t>
      </w:r>
      <w:r>
        <w:rPr>
          <w:rStyle w:val="VerbatimChar"/>
          <w:rFonts w:ascii="Times New Roman" w:hAnsi="Times New Roman"/>
          <w:sz w:val="28"/>
        </w:rPr>
        <w:t xml:space="preserve">gumilyov_scale.csv</w:t>
      </w:r>
      <w:r>
        <w:rPr>
          <w:rFonts w:ascii="Times New Roman" w:hAnsi="Times New Roman"/>
          <w:sz w:val="28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/>
          <w:sz w:val="28"/>
        </w:rPr>
        <w:t xml:space="preserve">сравнение</w:t>
      </w:r>
      <w:r>
        <w:rPr>
          <w:rFonts w:ascii="Times New Roman" w:hAnsi="Times New Roman"/>
          <w:sz w:val="28"/>
        </w:rPr>
        <w:t xml:space="preserve"> </w:t>
      </w:r>
      <w:r>
        <w:rPr>
          <w:rStyle w:val="VerbatimChar"/>
          <w:rFonts w:ascii="Times New Roman" w:hAnsi="Times New Roman"/>
          <w:sz w:val="28"/>
        </w:rPr>
        <w:t xml:space="preserve">gumilyov_video_comparison.csv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целиком;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/>
          <w:sz w:val="28"/>
        </w:rPr>
        <w:t xml:space="preserve">все частные гипотезы Н27-Н34.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Причина: для подачной версии достаточно одного сильного вывода: 852/37/6 и редкость G3.</w:t>
      </w:r>
    </w:p>
    <w:bookmarkEnd w:id="23"/>
    <w:bookmarkEnd w:id="24"/>
    <w:bookmarkStart w:id="25" w:name="что-стоит-сделать-онлайн-суплементом"/>
    <w:p>
      <w:pPr>
        <w:pStyle w:val="Heading2"/>
      </w:pPr>
      <w:r>
        <w:rPr>
          <w:rFonts w:ascii="Times New Roman" w:hAnsi="Times New Roman"/>
          <w:sz w:val="28"/>
        </w:rPr>
        <w:t xml:space="preserve">6. Что стоит сделать онлайн-суплементом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Рекомендуемый состав онлайн-приложения: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Times New Roman" w:hAnsi="Times New Roman"/>
          <w:sz w:val="28"/>
        </w:rPr>
        <w:t xml:space="preserve">site_data.json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 публичными карточками докладов и участников.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Times New Roman" w:hAnsi="Times New Roman"/>
          <w:sz w:val="28"/>
        </w:rPr>
        <w:t xml:space="preserve">article/supplementary_theme_codes.csv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 полной тематической разметкой.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Times New Roman" w:hAnsi="Times New Roman"/>
          <w:sz w:val="28"/>
        </w:rPr>
        <w:t xml:space="preserve">analytics_output/gumilyov_scale.csv</w:t>
      </w:r>
      <w:r>
        <w:rPr>
          <w:rFonts w:ascii="Times New Roman" w:hAnsi="Times New Roman"/>
          <w:sz w:val="28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Times New Roman" w:hAnsi="Times New Roman"/>
          <w:sz w:val="28"/>
        </w:rPr>
        <w:t xml:space="preserve">analytics_output/youtube_video_list.csv</w:t>
      </w:r>
      <w:r>
        <w:rPr>
          <w:rFonts w:ascii="Times New Roman" w:hAnsi="Times New Roman"/>
          <w:sz w:val="28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Times New Roman" w:hAnsi="Times New Roman"/>
          <w:sz w:val="28"/>
        </w:rPr>
        <w:t xml:space="preserve">analytics_output/video_presentation_mapping.csv</w:t>
      </w:r>
      <w:r>
        <w:rPr>
          <w:rFonts w:ascii="Times New Roman" w:hAnsi="Times New Roman"/>
          <w:sz w:val="28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/>
          <w:sz w:val="28"/>
        </w:rPr>
        <w:t xml:space="preserve">Таблицы из</w:t>
      </w:r>
      <w:r>
        <w:rPr>
          <w:rFonts w:ascii="Times New Roman" w:hAnsi="Times New Roman"/>
          <w:sz w:val="28"/>
        </w:rPr>
        <w:t xml:space="preserve"> </w:t>
      </w:r>
      <w:r>
        <w:rPr>
          <w:rStyle w:val="VerbatimChar"/>
          <w:rFonts w:ascii="Times New Roman" w:hAnsi="Times New Roman"/>
          <w:sz w:val="28"/>
        </w:rPr>
        <w:t xml:space="preserve">article/hypothesis_output/</w:t>
      </w:r>
      <w:r>
        <w:rPr>
          <w:rFonts w:ascii="Times New Roman" w:hAnsi="Times New Roman"/>
          <w:sz w:val="28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/>
          <w:sz w:val="28"/>
        </w:rPr>
        <w:t xml:space="preserve">Список 38 перекрестных участников.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/>
          <w:sz w:val="28"/>
        </w:rPr>
        <w:t xml:space="preserve">Методическое описание нулевой модели пересечения.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В статье достаточно дать ссылку на репозиторий/микросайт после финальной стабилизации адреса и, если возможно, DOI архива.</w:t>
      </w:r>
    </w:p>
    <w:bookmarkEnd w:id="25"/>
    <w:bookmarkStart w:id="26" w:name="возможные-следующие-статьи"/>
    <w:p>
      <w:pPr>
        <w:pStyle w:val="Heading2"/>
      </w:pPr>
      <w:r>
        <w:rPr>
          <w:rFonts w:ascii="Times New Roman" w:hAnsi="Times New Roman"/>
          <w:sz w:val="28"/>
        </w:rPr>
        <w:t xml:space="preserve">7. Возможные следующие статьи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/>
          <w:b/>
          <w:bCs/>
          <w:sz w:val="28"/>
        </w:rPr>
        <w:t xml:space="preserve">Микрокейс как жанр российской индологии.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Развернуть шкалу G1-G3, дисциплинарные различия и возрастной профиль G3.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/>
          <w:b/>
          <w:bCs/>
          <w:sz w:val="28"/>
        </w:rPr>
        <w:t xml:space="preserve">Конференционная видимость и видеоархив.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YouTube-слой, сопоставление с программами, эффект открытости для вольнослушателей.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/>
          <w:b/>
          <w:bCs/>
          <w:sz w:val="28"/>
        </w:rPr>
        <w:t xml:space="preserve">Периферия и институциональная занятость.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Проверить городские метки через authority-слой, отдельно разобрать Пензу.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/>
          <w:b/>
          <w:bCs/>
          <w:sz w:val="28"/>
        </w:rPr>
        <w:t xml:space="preserve">Перекрестная когорта как сеть посредников.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Сессионные графы, тематическая устойчивость, роль ИКВИА/ВШЭ, ИСАА МГУ и ИВ РАН.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/>
          <w:b/>
          <w:bCs/>
          <w:sz w:val="28"/>
        </w:rPr>
        <w:t xml:space="preserve">Публикационная конверсия конференционных докладов.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Связать программы с печатными сборниками и статьями.</w:t>
      </w:r>
    </w:p>
    <w:bookmarkEnd w:id="26"/>
    <w:bookmarkStart w:id="27" w:name="контрольный-вывод"/>
    <w:p>
      <w:pPr>
        <w:pStyle w:val="Heading2"/>
      </w:pPr>
      <w:r>
        <w:rPr>
          <w:rFonts w:ascii="Times New Roman" w:hAnsi="Times New Roman"/>
          <w:sz w:val="28"/>
        </w:rPr>
        <w:t xml:space="preserve">8. Контрольный вывод</w:t>
      </w:r>
    </w:p>
    <w:p>
      <w:pPr>
        <w:pStyle w:val="FirstParagraph"/>
      </w:pPr>
      <w:r>
        <w:rPr>
          <w:rFonts w:ascii="Times New Roman" w:hAnsi="Times New Roman"/>
          <w:sz w:val="28"/>
        </w:rPr>
        <w:t xml:space="preserve">Сокращенная статья не теряет главный смысл старого драфта, но меняет фокус. Вместо энциклопедического обзора всех проверок она делает один жесткий аргумент: две публичные конференционные среды российской индологии связаны слабее, чем кажется; тематически они различны; а нормальный жанр доклада в обеих средах - микрокейс, тогда как широкие обобщения редки и статусно маркированы.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sz w:val="28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sz w:val="28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imes New Roman" w:hAnsi="Times New Roman"/>
      <w:sz w:val="28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/>
      <w:sz w:val="28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/>
      <w:sz w:val="28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sz w:val="28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sz w:val="28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sz w:val="2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/>
      <w:i/>
      <w:iCs/>
      <w:color w:themeColor="accent1" w:themeShade="BF" w:val="0F4761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/>
      <w:color w:themeColor="accent1" w:themeShade="BF" w:val="0F4761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/>
      <w:i/>
      <w:iCs/>
      <w:color w:themeColor="text1" w:themeTint="A6" w:val="595959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/>
      <w:color w:themeColor="text1" w:themeTint="A6" w:val="595959"/>
      <w:sz w:val="28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/>
      <w:i/>
      <w:iCs/>
      <w:color w:themeColor="text1" w:themeTint="D8" w:val="272727"/>
      <w:sz w:val="28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/>
      <w:color w:themeColor="text1" w:themeTint="D8" w:val="272727"/>
      <w:sz w:val="28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/>
      <w:i/>
      <w:iCs/>
      <w:color w:themeColor="accent1" w:themeShade="BF" w:val="0F4761"/>
      <w:sz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/>
      <w:color w:themeColor="accent1" w:themeShade="BF" w:val="0F4761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/>
      <w:i/>
      <w:iCs/>
      <w:color w:themeColor="text1" w:themeTint="A6" w:val="595959"/>
      <w:sz w:val="28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/>
      <w:color w:themeColor="text1" w:themeTint="A6" w:val="595959"/>
      <w:sz w:val="28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/>
      <w:i/>
      <w:iCs/>
      <w:color w:themeColor="text1" w:themeTint="D8" w:val="272727"/>
      <w:sz w:val="28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/>
      <w:color w:themeColor="text1" w:themeTint="D8" w:val="272727"/>
      <w:sz w:val="28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sz w:val="2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sz w:val="28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sz w:val="28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sz w:val="28"/>
    </w:rPr>
  </w:style>
  <w:style w:customStyle="1" w:styleId="Definition" w:type="paragraph">
    <w:name w:val="Definition"/>
    <w:basedOn w:val="Normal"/>
    <w:rPr>
      <w:rFonts w:ascii="Times New Roman" w:hAnsi="Times New Roman"/>
      <w:sz w:val="28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sz w:val="28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sz w:val="28"/>
    </w:rPr>
  </w:style>
  <w:style w:customStyle="1" w:styleId="ImageCaption" w:type="paragraph">
    <w:name w:val="Image Caption"/>
    <w:basedOn w:val="Caption"/>
    <w:rPr>
      <w:rFonts w:ascii="Times New Roman" w:hAnsi="Times New Roman"/>
      <w:sz w:val="28"/>
    </w:rPr>
  </w:style>
  <w:style w:customStyle="1" w:styleId="Figure" w:type="paragraph">
    <w:name w:val="Figure"/>
    <w:basedOn w:val="Normal"/>
    <w:rPr>
      <w:rFonts w:ascii="Times New Roman" w:hAnsi="Times New Roman"/>
      <w:sz w:val="28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sz w:val="28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sz w:val="28"/>
    </w:rPr>
  </w:style>
  <w:style w:customStyle="1" w:styleId="VerbatimChar" w:type="character">
    <w:name w:val="Verbatim Char"/>
    <w:basedOn w:val="BodyTextChar"/>
    <w:rPr>
      <w:rFonts w:ascii="Times New Roman" w:hAnsi="Times New Roman"/>
      <w:sz w:val="28"/>
    </w:rPr>
  </w:style>
  <w:style w:customStyle="1" w:styleId="SectionNumber" w:type="character">
    <w:name w:val="Section Number"/>
    <w:basedOn w:val="BodyTextChar"/>
    <w:rPr>
      <w:rFonts w:ascii="Times New Roman" w:hAnsi="Times New Roman"/>
      <w:sz w:val="28"/>
    </w:rPr>
  </w:style>
  <w:style w:styleId="FootnoteReference" w:type="character">
    <w:name w:val="Footnote Reference"/>
    <w:basedOn w:val="BodyTextChar"/>
    <w:rPr>
      <w:rFonts w:ascii="Times New Roman" w:hAnsi="Times New Roman"/>
      <w:sz w:val="28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themeColor="accent1" w:val="4F81BD"/>
      <w:sz w:val="2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  <w:color w:themeColor="accent1" w:themeShade="BF" w:val="365F91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/>
      <w:sz w:val="28"/>
    </w:rPr>
  </w:style>
  <w:style w:type="character" w:customStyle="1" w:styleId="KeywordTok">
    <w:name w:val="KeywordTok"/>
    <w:basedOn w:val="VerbatimChar"/>
    <w:rPr>
      <w:rFonts w:ascii="Times New Roman" w:hAnsi="Times New Roman"/>
      <w:b/>
      <w:color w:val="007020"/>
      <w:sz w:val="28"/>
    </w:rPr>
  </w:style>
  <w:style w:type="character" w:customStyle="1" w:styleId="DataTypeTok">
    <w:name w:val="DataTypeTok"/>
    <w:basedOn w:val="VerbatimChar"/>
    <w:rPr>
      <w:rFonts w:ascii="Times New Roman" w:hAnsi="Times New Roman"/>
      <w:color w:val="902000"/>
      <w:sz w:val="28"/>
    </w:rPr>
  </w:style>
  <w:style w:type="character" w:customStyle="1" w:styleId="DecValTok">
    <w:name w:val="DecValTok"/>
    <w:basedOn w:val="VerbatimChar"/>
    <w:rPr>
      <w:rFonts w:ascii="Times New Roman" w:hAnsi="Times New Roman"/>
      <w:color w:val="40a070"/>
      <w:sz w:val="28"/>
    </w:rPr>
  </w:style>
  <w:style w:type="character" w:customStyle="1" w:styleId="BaseNTok">
    <w:name w:val="BaseNTok"/>
    <w:basedOn w:val="VerbatimChar"/>
    <w:rPr>
      <w:rFonts w:ascii="Times New Roman" w:hAnsi="Times New Roman"/>
      <w:color w:val="40a070"/>
      <w:sz w:val="28"/>
    </w:rPr>
  </w:style>
  <w:style w:type="character" w:customStyle="1" w:styleId="FloatTok">
    <w:name w:val="FloatTok"/>
    <w:basedOn w:val="VerbatimChar"/>
    <w:rPr>
      <w:rFonts w:ascii="Times New Roman" w:hAnsi="Times New Roman"/>
      <w:color w:val="40a070"/>
      <w:sz w:val="28"/>
    </w:rPr>
  </w:style>
  <w:style w:type="character" w:customStyle="1" w:styleId="ConstantTok">
    <w:name w:val="ConstantTok"/>
    <w:basedOn w:val="VerbatimChar"/>
    <w:rPr>
      <w:rFonts w:ascii="Times New Roman" w:hAnsi="Times New Roman"/>
      <w:color w:val="880000"/>
      <w:sz w:val="28"/>
    </w:rPr>
  </w:style>
  <w:style w:type="character" w:customStyle="1" w:styleId="CharTok">
    <w:name w:val="CharTok"/>
    <w:basedOn w:val="VerbatimChar"/>
    <w:rPr>
      <w:rFonts w:ascii="Times New Roman" w:hAnsi="Times New Roman"/>
      <w:color w:val="4070a0"/>
      <w:sz w:val="28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4070a0"/>
      <w:sz w:val="28"/>
    </w:rPr>
  </w:style>
  <w:style w:type="character" w:customStyle="1" w:styleId="StringTok">
    <w:name w:val="StringTok"/>
    <w:basedOn w:val="VerbatimChar"/>
    <w:rPr>
      <w:rFonts w:ascii="Times New Roman" w:hAnsi="Times New Roman"/>
      <w:color w:val="4070a0"/>
      <w:sz w:val="28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4070a0"/>
      <w:sz w:val="28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bb6688"/>
      <w:sz w:val="28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8000"/>
      <w:sz w:val="28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60a0b0"/>
      <w:sz w:val="28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ba2121"/>
      <w:sz w:val="28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60a0b0"/>
      <w:sz w:val="28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60a0b0"/>
      <w:sz w:val="28"/>
    </w:rPr>
  </w:style>
  <w:style w:type="character" w:customStyle="1" w:styleId="OtherTok">
    <w:name w:val="OtherTok"/>
    <w:basedOn w:val="VerbatimChar"/>
    <w:rPr>
      <w:rFonts w:ascii="Times New Roman" w:hAnsi="Times New Roman"/>
      <w:color w:val="007020"/>
      <w:sz w:val="28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6287e"/>
      <w:sz w:val="28"/>
    </w:rPr>
  </w:style>
  <w:style w:type="character" w:customStyle="1" w:styleId="VariableTok">
    <w:name w:val="VariableTok"/>
    <w:basedOn w:val="VerbatimChar"/>
    <w:rPr>
      <w:rFonts w:ascii="Times New Roman" w:hAnsi="Times New Roman"/>
      <w:color w:val="19177c"/>
      <w:sz w:val="28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7020"/>
      <w:sz w:val="28"/>
    </w:rPr>
  </w:style>
  <w:style w:type="character" w:customStyle="1" w:styleId="OperatorTok">
    <w:name w:val="OperatorTok"/>
    <w:basedOn w:val="VerbatimChar"/>
    <w:rPr>
      <w:rFonts w:ascii="Times New Roman" w:hAnsi="Times New Roman"/>
      <w:color w:val="666666"/>
      <w:sz w:val="28"/>
    </w:rPr>
  </w:style>
  <w:style w:type="character" w:customStyle="1" w:styleId="BuiltInTok">
    <w:name w:val="BuiltInTok"/>
    <w:basedOn w:val="VerbatimChar"/>
    <w:rPr>
      <w:rFonts w:ascii="Times New Roman" w:hAnsi="Times New Roman"/>
      <w:color w:val="008000"/>
      <w:sz w:val="28"/>
    </w:rPr>
  </w:style>
  <w:style w:type="character" w:customStyle="1" w:styleId="ExtensionTok">
    <w:name w:val="ExtensionTok"/>
    <w:basedOn w:val="VerbatimChar"/>
    <w:rPr>
      <w:rFonts w:ascii="Times New Roman" w:hAnsi="Times New Roman"/>
      <w:sz w:val="28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bc7a00"/>
      <w:sz w:val="28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7d9029"/>
      <w:sz w:val="28"/>
    </w:rPr>
  </w:style>
  <w:style w:type="character" w:customStyle="1" w:styleId="RegionMarkerTok">
    <w:name w:val="RegionMarkerTok"/>
    <w:basedOn w:val="VerbatimChar"/>
    <w:rPr>
      <w:rFonts w:ascii="Times New Roman" w:hAnsi="Times New Roman"/>
      <w:sz w:val="28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60a0b0"/>
      <w:sz w:val="28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60a0b0"/>
      <w:sz w:val="28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ff0000"/>
      <w:sz w:val="28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ff0000"/>
      <w:sz w:val="28"/>
    </w:rPr>
  </w:style>
  <w:style w:type="character" w:customStyle="1" w:styleId="NormalTok">
    <w:name w:val="NormalTok"/>
    <w:basedOn w:val="VerbatimChar"/>
    <w:rPr>
      <w:rFonts w:ascii="Times New Roman" w:hAnsi="Times New Roman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2026-05-24T13:07:36Z</dcterms:created>
  <dcterms:modified xsi:type="dcterms:W3CDTF">2026-05-24T13:07:36Z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