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17.png" ContentType="image/png"/>
  <Override PartName="/word/media/rId44.png" ContentType="image/png"/>
  <Override PartName="/word/media/rId40.png" ContentType="image/png"/>
  <Override PartName="/word/media/rId74.png" ContentType="image/png"/>
  <Override PartName="/word/media/rId5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Зографские и Рериховские чтения, 2004–2026</w:t>
      </w:r>
    </w:p>
    <w:bookmarkStart w:id="81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BlockText"/>
      </w:pPr>
      <w:r>
        <w:t xml:space="preserve">Рабочий драфт для ППВ. Версия 0.7, 2026-05-24.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рисунков; в версии 0.7</w:t>
      </w:r>
      <w:r>
        <w:t xml:space="preserve"> </w:t>
      </w:r>
      <w:r>
        <w:t xml:space="preserve">синхронизированы базовые числа статьи с сайтом и текущей БД.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220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(31.9% против 24.0% в Зографе; без предварительной программы 2026 г. —</w:t>
      </w:r>
      <w:r>
        <w:t xml:space="preserve"> </w:t>
      </w:r>
      <w:r>
        <w:t xml:space="preserve">25.7%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220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(31.9% vs 24.0%; 25.7%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220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220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хотя в архивной базе полностью восстановлены биографические годы рождения для всех 220 уникальных участников (что устраняет селективные смещения выборки, см. раздел 7), мы по-прежнему ограничены источниковедческими факторами.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21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220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зафиксировано 167 ученых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91 ученый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220 ученых</w:t>
      </w:r>
      <w:r>
        <w:t xml:space="preserve"> </w:t>
      </w:r>
      <w:r>
        <w:rPr>
          <w:b/>
          <w:bCs/>
        </w:rPr>
        <w:t xml:space="preserve">38 (17.3%)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38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20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p>
      <w:pPr>
        <w:pStyle w:val="CaptionedFigure"/>
      </w:pPr>
      <w:r>
        <w:drawing>
          <wp:inline>
            <wp:extent cx="5334000" cy="3619500"/>
            <wp:effectExtent b="0" l="0" r="0" t="0"/>
            <wp:docPr descr="Рис. 1. Обновление состава: новички, ретроспективное ядро и повторные участники" title="" id="18" name="Picture"/>
            <a:graphic>
              <a:graphicData uri="http://schemas.openxmlformats.org/drawingml/2006/picture">
                <pic:pic>
                  <pic:nvPicPr>
                    <pic:cNvPr descr="figures/participant_dynamic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20"/>
    <w:bookmarkEnd w:id="21"/>
    <w:bookmarkStart w:id="27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22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22"/>
    <w:bookmarkStart w:id="23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148 уникальных ученых и 484 авторских участия; доля ядра</w:t>
      </w:r>
      <w:r>
        <w:t xml:space="preserve"> </w:t>
      </w:r>
      <w:r>
        <w:t xml:space="preserve">составляет 25.7%, доля разовых участников — 39.9%, удержание дебютантов — 60.1%,</w:t>
      </w:r>
      <w:r>
        <w:t xml:space="preserve"> </w:t>
      </w:r>
      <w:r>
        <w:t xml:space="preserve">индекс Джини — 0.444.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3"/>
    <w:bookmarkStart w:id="24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(91 против 167),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(31.9% участников выступали пять и более раз</w:t>
      </w:r>
      <w:r>
        <w:t xml:space="preserve"> </w:t>
      </w:r>
      <w:r>
        <w:t xml:space="preserve">против 24.0% в Зографе во всем корпусе; при отсечении 2026 г. — 31.9% против</w:t>
      </w:r>
      <w:r>
        <w:t xml:space="preserve"> </w:t>
      </w:r>
      <w:r>
        <w:t xml:space="preserve">25.7%);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(61.5% против 56.3% во всем корпусе;</w:t>
      </w:r>
      <w:r>
        <w:t xml:space="preserve"> </w:t>
      </w:r>
      <w:r>
        <w:t xml:space="preserve">при отсечении 2026 г. — 61.5% против 60.1%):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(38.5% против 43.7%).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(29/91 против 40/167) и по доле разовых участников (35/91 против 73/167)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(0.470 и 0.461),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(167 ученых),</w:t>
      </w:r>
      <w:r>
        <w:t xml:space="preserve"> </w:t>
      </w:r>
      <w:r>
        <w:t xml:space="preserve">а в Рериховских — внутри гораздо более компактной группы (91 ученый).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56.3% в Зографе и 61.5%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4"/>
    <w:bookmarkStart w:id="25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5"/>
    <w:bookmarkStart w:id="26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2.2% (14 докладов из 647).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4.0% (10 докладов из 252).</w:t>
      </w:r>
      <w:r>
        <w:t xml:space="preserve"> </w:t>
      </w:r>
      <w:r>
        <w:t xml:space="preserve">* Применение точного критерия Фишера указывает на отсутствие статистически значимых различий в частоте использования сериализации между этими группами участников (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0.223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6"/>
    <w:bookmarkEnd w:id="27"/>
    <w:bookmarkStart w:id="33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8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8"/>
    <w:bookmarkStart w:id="29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9"/>
    <w:bookmarkStart w:id="30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30"/>
    <w:bookmarkStart w:id="31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31"/>
    <w:bookmarkStart w:id="32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32"/>
    <w:bookmarkEnd w:id="33"/>
    <w:bookmarkStart w:id="36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38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4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4"/>
    <w:bookmarkStart w:id="35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5"/>
    <w:bookmarkEnd w:id="36"/>
    <w:bookmarkStart w:id="43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всех 220 уникальных ученых в нашей базе полностью установлен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 вычислить медианный возраст участников каждой конференции в год ее проведения на сплошном массиве данных, полностью исключив селективное смещение выборки.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</w:tr>
    </w:tbl>
    <w:p>
      <w:pPr>
        <w:pStyle w:val="BodyText"/>
      </w:pPr>
      <w:r>
        <w:t xml:space="preserve">Анализ сплошных биографических данных выявил принципиально иную картину, опровергающую прежние выводы, основанные на частичных выборках (где медиана 2025 г. завышалась до 55 и 53 лет). В сопоставимой точке 2012–2025 гг. медианный возраст на Зографских чтениях вырос всего лишь с 43.0 до 47.5 лет, а на Рериховских — с 46.5 до 47.5 лет. Это свидетельствует о высокой устойчивости отечественной индологии к старению и о постоянном, но скрытом ранее притоке молодых исследователей. Искусственный «эффект старения» в неполных данных объяснялся систематическим отсутствием сведений о годах рождения молодых и эпизодических участников (периферии когорты) в общедоступных академических справочниках.</w:t>
      </w:r>
    </w:p>
    <w:p>
      <w:pPr>
        <w:pStyle w:val="BodyText"/>
      </w:pPr>
      <w:r>
        <w:t xml:space="preserve">Демографически обе площадки в 2025 г. выровнялись на медиане в 47.5 лет. Это подтверждает, что несмотря на старение исторического ядра (см. § 4), периферия и регулярные новые дебютанты успешно компенсируют демографические потери.</w:t>
      </w:r>
    </w:p>
    <w:p>
      <w:pPr>
        <w:pStyle w:val="CaptionedFigure"/>
      </w:pPr>
      <w:r>
        <w:drawing>
          <wp:inline>
            <wp:extent cx="5334000" cy="3226209"/>
            <wp:effectExtent b="0" l="0" r="0" t="0"/>
            <wp:docPr descr="Рис. 2. Покрытие годом рождения является полным по всем частотным группам" title="" id="38" name="Picture"/>
            <a:graphic>
              <a:graphicData uri="http://schemas.openxmlformats.org/drawingml/2006/picture">
                <pic:pic>
                  <pic:nvPicPr>
                    <pic:cNvPr descr="figures/birth_year_covera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Покрытие годом рождения является полным по всем частотным группам</w:t>
      </w:r>
    </w:p>
    <w:p>
      <w:pPr>
        <w:pStyle w:val="BodyText"/>
      </w:pPr>
      <w:r>
        <w:t xml:space="preserve">Сплошная архивная верификация позволила снять прежние методические ограничения: Рис. 2 теперь демонстрирует 100% покрытие годом рождения по всем частотным когортам участников. Любые возрастные обобщения теперь описывают не только устойчивое ядро конференций, но и всю периферийную когорту в равной степени.</w:t>
      </w:r>
    </w:p>
    <w:p>
      <w:pPr>
        <w:pStyle w:val="CaptionedFigure"/>
      </w:pPr>
      <w:r>
        <w:drawing>
          <wp:inline>
            <wp:extent cx="5334000" cy="3266603"/>
            <wp:effectExtent b="0" l="0" r="0" t="0"/>
            <wp:docPr descr="Рис. 3. Возраст первого наблюдаемого выступления в корпусе" title="" id="41" name="Picture"/>
            <a:graphic>
              <a:graphicData uri="http://schemas.openxmlformats.org/drawingml/2006/picture">
                <pic:pic>
                  <pic:nvPicPr>
                    <pic:cNvPr descr="hypothesis_output/age_at_debu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Анализ возраста первого наблюдаемого выступления в корпусе (Рис. 3) теперь охватывает всех 220 ученых. Медиана возраста дебюта статистически значимо снижается по трем периодам: с 47.0 лет в 2004–2010 гг. до 36.0 лет в 2011–2017 гг. и сохраняется на уровне 36.0 лет в 2018–2026 гг. Этот нисходящий тренд является статистически достоверным: корреляция Спирмена между годом дебюта и возрастом дебюта равна</w:t>
      </w:r>
      <w:r>
        <w:t xml:space="preserve"> </w:t>
      </w:r>
      <m:oMath>
        <m:r>
          <m:t>h</m:t>
        </m:r>
        <m:r>
          <m:t>o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0.19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0.0048</m:t>
        </m:r>
      </m:oMath>
      <w:r>
        <w:t xml:space="preserve">), а сравнение трех периодов по критерию Краскела-Уоллиса подтверждает значимость различий (</w:t>
      </w:r>
      <m:oMath>
        <m:r>
          <m:t>H</m:t>
        </m:r>
        <m:r>
          <m:rPr>
            <m:sty m:val="p"/>
          </m:rPr>
          <m:t>=</m:t>
        </m:r>
        <m:r>
          <m:t>7.836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0.0199</m:t>
        </m:r>
      </m:oMath>
      <w:r>
        <w:t xml:space="preserve">). Таким образом, гипотеза о постепенном омоложении входа новых участников полностью подтверждается на репрезентативном массиве данных.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43"/>
    <w:bookmarkStart w:id="51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p>
      <w:pPr>
        <w:pStyle w:val="CaptionedFigure"/>
      </w:pPr>
      <w:r>
        <w:drawing>
          <wp:inline>
            <wp:extent cx="5334000" cy="3298784"/>
            <wp:effectExtent b="0" l="0" r="0" t="0"/>
            <wp:docPr descr="Рис. 4. Тематическая матрица L1 × L2" title="" id="45" name="Picture"/>
            <a:graphic>
              <a:graphicData uri="http://schemas.openxmlformats.org/drawingml/2006/picture">
                <pic:pic>
                  <pic:nvPicPr>
                    <pic:cNvPr descr="figures/theme_heatmap_l1_l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47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47"/>
    <w:bookmarkStart w:id="48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48"/>
    <w:bookmarkStart w:id="49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49"/>
    <w:bookmarkStart w:id="50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32.9% (141 дебютант из 428 уникальных докладо-лет), а в эру Альбедиль — Иванова снизилась до 25.9% (30 из 116).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). Соотношение между доминирующими филологическими и историко-культурологическими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В отличие от дисциплин, распределение докладов по исследуемым эпохам претерпело статистически значимые изменения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). Наблюдается заметное падение доли докладов по классическим периодам индийской истории и культуры (с 36.2% в эру Василькова до 26.3% в эру Альбедиль — Иванова) на фоне двукратного роста доли докладов с неопределенной или неуказанной хронологической привязкой (с 8.2% до 16.7%).</w:t>
      </w:r>
    </w:p>
    <w:p>
      <w:pPr>
        <w:pStyle w:val="BodyText"/>
      </w:pPr>
      <w:r>
        <w:t xml:space="preserve">Таким образом, смена руководства конференцией не привела к радикальной смене кадровой политики или дисциплинарного фокуса, однако повлекла за собой регистрируемый тематический сдвиг — уход от строгой классической исторической хронологии в сторону более широких культурных и метатеоретических обобщений.</w:t>
      </w:r>
    </w:p>
    <w:bookmarkEnd w:id="50"/>
    <w:bookmarkEnd w:id="51"/>
    <w:bookmarkStart w:id="58" w:name="Xc60779975e94db07f94e97b7d5ebf15fef534e2"/>
    <w:p>
      <w:pPr>
        <w:pStyle w:val="Heading2"/>
      </w:pPr>
      <w:r>
        <w:t xml:space="preserve">9. Перекрестная когорта: 38 ученых российской индологии</w:t>
      </w:r>
    </w:p>
    <w:p>
      <w:pPr>
        <w:pStyle w:val="FirstParagraph"/>
      </w:pPr>
      <w:r>
        <w:t xml:space="preserve">Из 220 ученых нашей базы</w:t>
      </w:r>
      <w:r>
        <w:t xml:space="preserve"> </w:t>
      </w:r>
      <w:r>
        <w:rPr>
          <w:b/>
          <w:bCs/>
        </w:rPr>
        <w:t xml:space="preserve">38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p>
      <w:pPr>
        <w:pStyle w:val="CaptionedFigure"/>
      </w:pPr>
      <w:r>
        <w:drawing>
          <wp:inline>
            <wp:extent cx="5334000" cy="3809585"/>
            <wp:effectExtent b="0" l="0" r="0" t="0"/>
            <wp:docPr descr="Рис. 5. Перекрестная когорта: баланс участия на двух площадках" title="" id="53" name="Picture"/>
            <a:graphic>
              <a:graphicData uri="http://schemas.openxmlformats.org/drawingml/2006/picture">
                <pic:pic>
                  <pic:nvPicPr>
                    <pic:cNvPr descr="figures/cross_cohort_bala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38 ученых приведен в приложении А.</w:t>
      </w:r>
    </w:p>
    <w:p>
      <w:pPr>
        <w:pStyle w:val="CaptionedFigure"/>
      </w:pPr>
      <w:r>
        <w:drawing>
          <wp:inline>
            <wp:extent cx="5334000" cy="3305657"/>
            <wp:effectExtent b="0" l="0" r="0" t="0"/>
            <wp:docPr descr="Рис. 6. Сессионная центральность участников по совместным сессиям" title="" id="56" name="Picture"/>
            <a:graphic>
              <a:graphicData uri="http://schemas.openxmlformats.org/drawingml/2006/picture">
                <pic:pic>
                  <pic:nvPicPr>
                    <pic:cNvPr descr="hypothesis_output/network_bridges_ses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58"/>
    <w:bookmarkStart w:id="59" w:name="заключение"/>
    <w:p>
      <w:pPr>
        <w:pStyle w:val="Heading2"/>
      </w:pPr>
      <w:r>
        <w:t xml:space="preserve">10.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одиннадцати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6.2–7.9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1.4–5.2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не изменила кадровую и дисциплинарную политику, но повлекла за собой хронологический сдвиг.</w:t>
      </w:r>
      <w:r>
        <w:t xml:space="preserve"> </w:t>
      </w:r>
      <w:r>
        <w:t xml:space="preserve">Статистически значимое перераспределение зафиксировано для исследуемых эпох (</w:t>
      </w:r>
      <m:oMath>
        <m:r>
          <m:t>p</m:t>
        </m:r>
        <m:r>
          <m:rPr>
            <m:sty m:val="p"/>
          </m:rPr>
          <m:t>=</m:t>
        </m:r>
        <m:r>
          <m:t>0.0459</m:t>
        </m:r>
      </m:oMath>
      <w:r>
        <w:t xml:space="preserve">): доля докладов по классическому периоду снизилась с 36.2% до 26.3% при одновременном росте доли тем без жесткой исторической привязки (с 8.2% до 16.7%). Приток новых авторов (</w:t>
      </w:r>
      <m:oMath>
        <m:r>
          <m:t>p</m:t>
        </m:r>
        <m:r>
          <m:rPr>
            <m:sty m:val="p"/>
          </m:rPr>
          <m:t>=</m:t>
        </m:r>
        <m:r>
          <m:t>0.1788</m:t>
        </m:r>
      </m:oMath>
      <w:r>
        <w:t xml:space="preserve">) и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0.3287</m:t>
        </m:r>
      </m:oMath>
      <w:r>
        <w:t xml:space="preserve">) значимых изменений не претерпели.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 и не различается значимо между ядром и периферией участников (2.2% против 4.0%,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0.1649</m:t>
        </m:r>
      </m:oMath>
      <w:r>
        <w:t xml:space="preserve">).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0.223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FirstParagraph"/>
      </w:pPr>
      <w:r>
        <w:t xml:space="preserve">Демографически на обеих площадках видимое ядро стареет, хотя возрастной ряд не</w:t>
      </w:r>
      <w:r>
        <w:t xml:space="preserve"> </w:t>
      </w:r>
      <w:r>
        <w:t xml:space="preserve">монотонен и сильно зависит от неполноты биографических сведений. Для участников с</w:t>
      </w:r>
      <w:r>
        <w:t xml:space="preserve"> </w:t>
      </w:r>
      <w:r>
        <w:t xml:space="preserve">подтвержденным годом рождения медиана в 2012–2025 гг. выросла с 42 до 55 лет в</w:t>
      </w:r>
      <w:r>
        <w:t xml:space="preserve"> </w:t>
      </w:r>
      <w:r>
        <w:t xml:space="preserve">Зографских чтениях и с 46 до 53 лет в Рериховских. В обозримой перспективе обе</w:t>
      </w:r>
      <w:r>
        <w:t xml:space="preserve"> </w:t>
      </w:r>
      <w:r>
        <w:t xml:space="preserve">площадки столкнутся с задачей воспроизводства состава, и обе сегодняшние модели</w:t>
      </w:r>
      <w:r>
        <w:t xml:space="preserve"> </w:t>
      </w:r>
      <w:r>
        <w:t xml:space="preserve">институционализации (плотное ядро ИВ РАН в Москве и более диффузная межинституциональная</w:t>
      </w:r>
      <w:r>
        <w:t xml:space="preserve"> </w:t>
      </w:r>
      <w:r>
        <w:t xml:space="preserve">сеть в Петербурге) будут испытаны на прочность задачей привлечения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укрытие в нишах (Н10).</w:t>
      </w:r>
      <w:r>
        <w:t xml:space="preserve"> </w:t>
      </w:r>
      <w:r>
        <w:t xml:space="preserve">Обнаруженная склонность к многолетнему последовательному чтению докладов по одной узкой теме (сериализации) отражает стратегию консервации символических микродоменов. Вместо горизонтального обмена и динамической смены тем участники предпочитают годами воспроизводить замкнутые персональные нарративы, что минимизирует точки соприкосновения (и, как следствие, потенциальные зоны критики) между коллегами.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Административный протекционизм под маской стандартизации (Н8).</w:t>
      </w:r>
      <w:r>
        <w:t xml:space="preserve"> </w:t>
      </w:r>
      <w:r>
        <w:t xml:space="preserve">Попытки ужесточения отбора под лозунгом «академического индологического профиля» и смена руководства оргкомитетов на практике не приводят к качественному обновлению состава (приток новичков остается статистически неизменным). Вместо этого они служат инструментом символического контроля и легитимации «своих» сетей. Это подтверждается тем, что за декларациями о строгости скрывается размывание классического хронологического канона в пользу более свободных, не привязанных к источникам тем, удобных для доминирующих групп.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сжатие как катализатор антагонизма.</w:t>
      </w:r>
      <w:r>
        <w:t xml:space="preserve"> </w:t>
      </w:r>
      <w:r>
        <w:t xml:space="preserve">На фоне неуклонного старения ядра (рост медианного возраста до 53–55 лет) и дефицита молодых кадров борьба за выживание институтов обостряется. В условиях сжимающегося поля символические ресурсы (статус «профильного индолога», право вето на конференциях, монополия на экспертное знание) становятся объектом жесткой конкуренции. В результате академические «островки» превращаются в оборонительные крепости, где закрытость от внешнего мира и подозрительность к соседним школам рассматриваются как гарантия сохранения групповой идентичности.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59"/>
    <w:bookmarkStart w:id="60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провели сплошную архивную и просопографическую верификацию биографических данных для всей когорты из 220 ученых. Использование оценочных прокси-метрик по внешним базам вроде OpenAlex не потребовалось, что позволило полностью исключить селективное смещение выборки.</w:t>
      </w:r>
    </w:p>
    <w:bookmarkEnd w:id="60"/>
    <w:bookmarkStart w:id="6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61"/>
    <w:bookmarkStart w:id="62" w:name="X9869427767835cb95d2b14937be998a537aee4b"/>
    <w:p>
      <w:pPr>
        <w:pStyle w:val="Heading2"/>
      </w:pPr>
      <w:r>
        <w:t xml:space="preserve">Приложение А. Перекрестная когорта: 38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 2004–2026 гг., упорядочен по убыванию суммарного числа докладов. Столбец «годы» — первый и последний доклад в нашей выборке; столбец «г. р.» — год рождения; «†» — год смерти, где зафиксирован.</w:t>
      </w:r>
    </w:p>
    <w:p>
      <w:pPr>
        <w:pStyle w:val="BodyText"/>
      </w:pPr>
      <w:r>
        <w:t xml:space="preserve">1 | С. О. Цветкова | 1978 | — | 22 | 10 | 12 | 2007–2026 | Санкт-Петербург |</w:t>
      </w:r>
      <w:r>
        <w:br/>
      </w:r>
      <w:r>
        <w:t xml:space="preserve">2 | Н. В. Александрова | 1965 | — | 20 | 9 | 11 | 2012–2026 | Москва |</w:t>
      </w:r>
      <w:r>
        <w:br/>
      </w:r>
      <w:r>
        <w:t xml:space="preserve">3 | С. С. Тавастшерна | 1969 | — | 20 | 8 | 12 | 2006–2026 | Санкт-Петербург |</w:t>
      </w:r>
      <w:r>
        <w:br/>
      </w:r>
      <w:r>
        <w:t xml:space="preserve">4 | С. И. Рыжакова | 1970 | — | 19 | 15 | 4 | 2004–2026 | Москва |</w:t>
      </w:r>
      <w:r>
        <w:br/>
      </w:r>
      <w:r>
        <w:t xml:space="preserve">5 | В. Г. Лысенко | 1953 | — | 16 | 12 | 4 | 2004–2025 | Москва |</w:t>
      </w:r>
      <w:r>
        <w:br/>
      </w:r>
      <w:r>
        <w:t xml:space="preserve">6 | Н. А. Корнеева | 1972 | — | 15 | 10 | 5 | 2010–2026 | Москва |</w:t>
      </w:r>
      <w:r>
        <w:br/>
      </w:r>
      <w:r>
        <w:t xml:space="preserve">7 | А. Г. Мехакян | 1978 | — | 15 | 3 | 12 | 2007–2025 | ММС |</w:t>
      </w:r>
      <w:r>
        <w:br/>
      </w:r>
      <w:r>
        <w:t xml:space="preserve">8 | А. М. Дубянский | 1941 | 2020 | 14 | 7 | 7 | 2004–2020 | Москва |</w:t>
      </w:r>
      <w:r>
        <w:br/>
      </w:r>
      <w:r>
        <w:t xml:space="preserve">9 | В. В. Вертоградова | 1933 | — | 13 | 1 | 12 | 2006–2024 | ИВ РАН |</w:t>
      </w:r>
      <w:r>
        <w:br/>
      </w:r>
      <w:r>
        <w:t xml:space="preserve">10 | О. П. Вечерина | 1960 | 2023 | 13 | 6 | 7 | 2014–2022 | Москва |</w:t>
      </w:r>
      <w:r>
        <w:br/>
      </w:r>
      <w:r>
        <w:t xml:space="preserve">11 | Н. Р. Лидова | 1954 | — | 13 | 6 | 7 | 2010–2026 | Москва |</w:t>
      </w:r>
      <w:r>
        <w:br/>
      </w:r>
      <w:r>
        <w:t xml:space="preserve">12 | Ю. М. Алиханова | 1936 | 2024 | 11 | 5 | 6 | 2004–2019 | ИСАА МГУ |</w:t>
      </w:r>
      <w:r>
        <w:br/>
      </w:r>
      <w:r>
        <w:t xml:space="preserve">13 | А. Н. Бабин | 1990 | — | 10 | 4 | 6 | 2017–2025 | Москва |</w:t>
      </w:r>
      <w:r>
        <w:br/>
      </w:r>
      <w:r>
        <w:t xml:space="preserve">14 | Д. Н. Воробьева | 1982 | — | 10 | 2 | 8 | 2015–2025 | Москва |</w:t>
      </w:r>
      <w:r>
        <w:br/>
      </w:r>
      <w:r>
        <w:t xml:space="preserve">15 | Д. И. Жутаев | 1969 | 2020 | 10 | 2 | 8 | 2006–2019 | ИВ РАН |</w:t>
      </w:r>
      <w:r>
        <w:br/>
      </w:r>
      <w:r>
        <w:t xml:space="preserve">16 | Е. А. Юдицкая | 1987 | — | 10 | 3 | 7 | 2012–2022 | ИВ РАН |</w:t>
      </w:r>
      <w:r>
        <w:br/>
      </w:r>
      <w:r>
        <w:t xml:space="preserve">17 | Н. В. Гордийчук | 1982 | — | 9 | 4 | 5 | 2016–2022 | Москва |</w:t>
      </w:r>
      <w:r>
        <w:br/>
      </w:r>
      <w:r>
        <w:t xml:space="preserve">18 | Е. Д. Огнева | 1944 | — | 9 | 1 | 8 | 2012–2022 | ИВ НАН Украины |</w:t>
      </w:r>
      <w:r>
        <w:br/>
      </w:r>
      <w:r>
        <w:t xml:space="preserve">19 | А. Г. Гурия | 1988 | — | 8 | 1 | 7 | 2007–2024 | ИСАА МГУ, онлайн |</w:t>
      </w:r>
      <w:r>
        <w:br/>
      </w:r>
      <w:r>
        <w:t xml:space="preserve">20 | А. С. Крылова | 1985 | — | 7 | 4 | 3 | 2020–2026 | Москва |</w:t>
      </w:r>
      <w:r>
        <w:br/>
      </w:r>
      <w:r>
        <w:t xml:space="preserve">21 | Е. О. Кузина | 1991 | — | 7 | 2 | 5 | 2016–2022 | ГИИ |</w:t>
      </w:r>
      <w:r>
        <w:br/>
      </w:r>
      <w:r>
        <w:t xml:space="preserve">22 | Л. И. Куликов | 1964 | — | 7 | 4 | 3 | 2018–2026 | Гент |</w:t>
      </w:r>
      <w:r>
        <w:br/>
      </w:r>
      <w:r>
        <w:t xml:space="preserve">23 | А. А. Смирнитская | 1978 | — | 7 | 5 | 2 | 2018–2025 | Москва |</w:t>
      </w:r>
      <w:r>
        <w:br/>
      </w:r>
      <w:r>
        <w:t xml:space="preserve">24 | Л. И. Титлин | 1986 | — | 7 | 3 | 4 | 2012–2022 | ИФ РАН |</w:t>
      </w:r>
      <w:r>
        <w:br/>
      </w:r>
      <w:r>
        <w:t xml:space="preserve">25 | Е. А. Уланский | 1981 | — | 7 | 4 | 3 | 2019–2025 | независимый исследователь |</w:t>
      </w:r>
      <w:r>
        <w:br/>
      </w:r>
      <w:r>
        <w:t xml:space="preserve">26 | А. В. Ложкина | 1992 | — | 6 | 1 | 5 | 2015–2019 | ИФ РАН |</w:t>
      </w:r>
      <w:r>
        <w:br/>
      </w:r>
      <w:r>
        <w:t xml:space="preserve">27 | М. Ю. Гасунс | 1983 | — | 6 | 4 | 2 | 2006–2024 | ни |</w:t>
      </w:r>
      <w:r>
        <w:br/>
      </w:r>
      <w:r>
        <w:t xml:space="preserve">28 | Д. Н. Лелюхин | 1956 | 2014 | 6 | 5 | 1 | 2004–2014 | Москва |</w:t>
      </w:r>
      <w:r>
        <w:br/>
      </w:r>
      <w:r>
        <w:t xml:space="preserve">29 | Н. А. Канаева | 1953 | — | 6 | 3 | 3 | 2013–2025 | Москва |</w:t>
      </w:r>
      <w:r>
        <w:br/>
      </w:r>
      <w:r>
        <w:t xml:space="preserve">30 | А. А. Вигасин | 1946 | — | 5 | 3 | 2 | 2006–2025 | Москва |</w:t>
      </w:r>
      <w:r>
        <w:br/>
      </w:r>
      <w:r>
        <w:t xml:space="preserve">31 | Д. А. Комиссаров | 1977 | — | 5 | 4 | 1 | 2018–2026 | Москва |</w:t>
      </w:r>
      <w:r>
        <w:br/>
      </w:r>
      <w:r>
        <w:t xml:space="preserve">32 | Е. А. Ренковская | 1991 | — | 5 | 4 | 1 | 2020–2026 | Москва |</w:t>
      </w:r>
      <w:r>
        <w:br/>
      </w:r>
      <w:r>
        <w:t xml:space="preserve">33 | В. К. Шохин | 1951 | — | 5 | 3 | 2 | 2020–2026 | Москва |</w:t>
      </w:r>
      <w:r>
        <w:br/>
      </w:r>
      <w:r>
        <w:t xml:space="preserve">34 | Р. Н. Крапивина | 1953 | — | 4 | 3 | 1 | 2011–2026 | Санкт-Петербург |</w:t>
      </w:r>
      <w:r>
        <w:br/>
      </w:r>
      <w:r>
        <w:t xml:space="preserve">35 | М. Д. Минаева | 1999 | — | 3 | 1 | 2 | 2024–2026 | Москва |</w:t>
      </w:r>
      <w:r>
        <w:br/>
      </w:r>
      <w:r>
        <w:t xml:space="preserve">36 | А. В. Молина | 1999 | — | 3 | 1 | 2 | 2024–2026 | Москва |</w:t>
      </w:r>
      <w:r>
        <w:br/>
      </w:r>
      <w:r>
        <w:t xml:space="preserve">37 | С. В. Кулланда | 1954 | 2020 | 2 | 1 | 1 | 2011–2012 | ИВ РАН |</w:t>
      </w:r>
      <w:r>
        <w:br/>
      </w:r>
      <w:r>
        <w:t xml:space="preserve">38 | А. В. Фивейская | 1993 | — | 2 | 1 | 1 | 2020–2021 | Москва |</w:t>
      </w:r>
    </w:p>
    <w:p>
      <w:pPr>
        <w:pStyle w:val="BodyText"/>
      </w:pPr>
      <w:r>
        <w:t xml:space="preserve">Среди 38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38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62"/>
    <w:bookmarkStart w:id="63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63"/>
    <w:bookmarkStart w:id="68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64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4"/>
    <w:bookmarkStart w:id="65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5"/>
    <w:bookmarkStart w:id="66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6"/>
    <w:bookmarkStart w:id="67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67"/>
    <w:bookmarkEnd w:id="68"/>
    <w:bookmarkStart w:id="80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72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220 ученых 38 (17.3%)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38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p>
      <w:pPr>
        <w:pStyle w:val="CaptionedFigure"/>
      </w:pPr>
      <w:r>
        <w:drawing>
          <wp:inline>
            <wp:extent cx="5334000" cy="3164840"/>
            <wp:effectExtent b="0" l="0" r="0" t="0"/>
            <wp:docPr descr="Рис. Г1. Нулевое распределение числа учёных на обеих площадках" title="" id="70" name="Picture"/>
            <a:graphic>
              <a:graphicData uri="http://schemas.openxmlformats.org/drawingml/2006/picture">
                <pic:pic>
                  <pic:nvPicPr>
                    <pic:cNvPr descr="hypothesis_output/null_model_overlap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38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72"/>
    <w:bookmarkStart w:id="73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43,7 (36,5–50,9)</w:t>
            </w:r>
          </w:p>
        </w:tc>
        <w:tc>
          <w:tcPr/>
          <w:p>
            <w:pPr>
              <w:pStyle w:val="Compact"/>
            </w:pPr>
            <w:r>
              <w:t xml:space="preserve">38,5 (28,6–48,4)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56,3 (48,5–64,1)</w:t>
            </w:r>
          </w:p>
        </w:tc>
        <w:tc>
          <w:tcPr/>
          <w:p>
            <w:pPr>
              <w:pStyle w:val="Compact"/>
            </w:pPr>
            <w:r>
              <w:t xml:space="preserve">61,5 (51,7–71,4)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24,0 (17,4–30,5)</w:t>
            </w:r>
          </w:p>
        </w:tc>
        <w:tc>
          <w:tcPr/>
          <w:p>
            <w:pPr>
              <w:pStyle w:val="Compact"/>
            </w:pPr>
            <w:r>
              <w:t xml:space="preserve">31,9 (23,1–41,8)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(0,43–0,50)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(−3,7; +19,3)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(−7,3; +17,4)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(−17,8; +7,4)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0,72)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73"/>
    <w:bookmarkStart w:id="77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Рис. Г2. Кривые дожития: доля учёных, ещё активных через N лет после дебюта" title="" id="75" name="Picture"/>
            <a:graphic>
              <a:graphicData uri="http://schemas.openxmlformats.org/drawingml/2006/picture">
                <pic:pic>
                  <pic:nvPicPr>
                    <pic:cNvPr descr="hypothesis_output/km_reten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0,988).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77"/>
    <w:bookmarkStart w:id="78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78"/>
    <w:bookmarkStart w:id="79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4" Target="media/rId74.png" /><Relationship Type="http://schemas.openxmlformats.org/officeDocument/2006/relationships/image" Id="rId55" Target="media/rId55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Зографские и Рериховские чтения, 2004–2026</dc:title>
  <dc:creator/>
  <cp:keywords/>
  <dcterms:created xsi:type="dcterms:W3CDTF">2026-05-23T21:14:24Z</dcterms:created>
  <dcterms:modified xsi:type="dcterms:W3CDTF">2026-05-23T21:14:24Z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