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УДК 061.3:001.32(470:540)</w:t>
      </w:r>
    </w:p>
    <w:bookmarkStart w:id="21" w:name="X5c8f8910da7320809f983eee1232ca7ab9fd338"/>
    <w:p>
      <w:pPr>
        <w:pStyle w:val="Heading1"/>
      </w:pPr>
      <w:r>
        <w:t xml:space="preserve">Две конференционные среды российской индологии: Зографские и Рериховские чтения, 2004-2026</w:t>
      </w:r>
    </w:p>
    <w:p>
      <w:pPr>
        <w:pStyle w:val="FirstParagraph"/>
      </w:pPr>
      <w:r>
        <w:rPr>
          <w:b/>
          <w:bCs/>
        </w:rPr>
        <w:t xml:space="preserve">Two Conference Milieus of Russian Indology: The Zograf and Roerich Readings, 2004-2026</w:t>
      </w:r>
    </w:p>
    <w:p>
      <w:pPr>
        <w:pStyle w:val="BodyText"/>
      </w:pPr>
      <w:r>
        <w:rPr>
          <w:b/>
          <w:bCs/>
        </w:rPr>
        <w:t xml:space="preserve">Гасунс Марцис Юрьевич</w:t>
      </w:r>
      <w:r>
        <w:br/>
      </w:r>
      <w:r>
        <w:t xml:space="preserve">независимый исследователь; ученая степень, звание: ____; должность: независимый исследователь; место работы: независимый исследователь; рабочий адрес: ____, Москва, Россия; e-mail: gasyoun@gmail.com; ORCID: ____.</w:t>
      </w:r>
    </w:p>
    <w:p>
      <w:pPr>
        <w:pStyle w:val="BodyText"/>
      </w:pPr>
      <w:r>
        <w:rPr>
          <w:b/>
          <w:bCs/>
        </w:rPr>
        <w:t xml:space="preserve">Gasūns Marcis Yurievich</w:t>
      </w:r>
      <w:r>
        <w:br/>
      </w:r>
      <w:r>
        <w:t xml:space="preserve">independent researcher; academic degree and title: ____; position: independent researcher; affiliation: independent researcher; postal address: ____, Moscow, Russia; e-mail: gasyoun@gmail.com; ORCID: ____.</w:t>
      </w:r>
    </w:p>
    <w:bookmarkStart w:id="9" w:name="аннотация"/>
    <w:p>
      <w:pPr>
        <w:pStyle w:val="Heading2"/>
      </w:pPr>
      <w:r>
        <w:t xml:space="preserve">Аннотация</w:t>
      </w:r>
    </w:p>
    <w:p>
      <w:pPr>
        <w:pStyle w:val="FirstParagraph"/>
      </w:pPr>
      <w:r>
        <w:t xml:space="preserve">Статья анализирует публично наблюдаемую конференционную жизнь российской индологии на материале двух долговременных чтений: Зографских (Санкт-Петербург) и Рериховских (Москва). Расширенный корпус включает 1350 докладов, 1377 авторских участий и 286 ученых за 2004-2026 гг.; программа Зографских чтений 2026 г. учитывается как предварительная. Проверяются три вопроса: насколько две площадки пересекаются по участникам, различаются ли их тематические профили и какой масштаб обобщения преобладает в докладах. Главный результат состоит в неожиданно слабом пересечении: на обеих площадках выступал только 41 ученый, тогда как перестановочная нулевая модель при сохранении индивидуальной активности ожидает 128,4. Тематически Рериховские чтения сильнее концентрируются на классическом и средневековом периодах, а Зографские сохраняют более широкий хронологический разброс. Двухступенчатая разметка масштаба обобщения показывает, что 1155 из 1350 докладов являются микрокейсами; глобальные синтетические рамки представлены лишь в 10 заголовках.</w:t>
      </w:r>
    </w:p>
    <w:p>
      <w:pPr>
        <w:pStyle w:val="BodyText"/>
      </w:pPr>
      <w:r>
        <w:rPr>
          <w:b/>
          <w:bCs/>
        </w:rPr>
        <w:t xml:space="preserve">Ключевые слова:</w:t>
      </w:r>
      <w:r>
        <w:t xml:space="preserve"> </w:t>
      </w:r>
      <w:r>
        <w:t xml:space="preserve">российская индология, Зографские чтения, Рериховские чтения, просопография, конференционные программы, тематическая классификация, микрокейсы, цифровые гуманитарные науки.</w:t>
      </w:r>
    </w:p>
    <w:bookmarkEnd w:id="9"/>
    <w:bookmarkStart w:id="10" w:name="abstract"/>
    <w:p>
      <w:pPr>
        <w:pStyle w:val="Heading2"/>
      </w:pPr>
      <w:r>
        <w:t xml:space="preserve">Abstract</w:t>
      </w:r>
    </w:p>
    <w:p>
      <w:pPr>
        <w:pStyle w:val="FirstParagraph"/>
      </w:pPr>
      <w:r>
        <w:t xml:space="preserve">The article examines the publicly observable conference life of Russian Indology through two long-running venues: the Zograf Readings in St. Petersburg and the Roerich Readings in Moscow. The expanded corpus contains 1,350 presentations, 1,377 author participations, and 286 scholars for 2004-2026; the 2026 Zograf programme is treated as preliminary. The study asks how strongly the two venues overlap, whether their thematic profiles differ, and what scale of scholarly generalisation dominates the presentations. The main finding is the unexpectedly weak overlap: only 41 scholars appeared at both venues, whereas an activity-preserving permutation model would expect 128.4. The Roerich Readings concentrate more heavily on classical and medieval topics, while the Zograf Readings preserve a broader chronological range. A two-stage classification of argument scale shows that 1,155 of 1,350 presentations are micro-case studies; only ten titles state global synthetic frames.</w:t>
      </w:r>
    </w:p>
    <w:p>
      <w:pPr>
        <w:pStyle w:val="BodyText"/>
      </w:pPr>
      <w:r>
        <w:rPr>
          <w:b/>
          <w:bCs/>
        </w:rPr>
        <w:t xml:space="preserve">Keywords:</w:t>
      </w:r>
      <w:r>
        <w:t xml:space="preserve"> </w:t>
      </w:r>
      <w:r>
        <w:t xml:space="preserve">Russian Indology, Zograf Readings, Roerich Readings, prosopography, conference programmes, thematic classification, micro-cases, digital humanities.</w:t>
      </w:r>
    </w:p>
    <w:bookmarkEnd w:id="10"/>
    <w:bookmarkStart w:id="11" w:name="постановка-задачи"/>
    <w:p>
      <w:pPr>
        <w:pStyle w:val="Heading2"/>
      </w:pPr>
      <w:r>
        <w:t xml:space="preserve">1. Постановка задачи</w:t>
      </w:r>
    </w:p>
    <w:p>
      <w:pPr>
        <w:pStyle w:val="FirstParagraph"/>
      </w:pPr>
      <w:r>
        <w:t xml:space="preserve">Зографские чтения в Санкт-Петербурге и Рериховские чтения в Москве являются двумя наиболее устойчивыми публичными площадками, на которых российская индология в последние десятилетия регулярно предъявляет себя в форме открытой конференционной программы. Это не означает, что они исчерпывают институциональную жизнь дисциплины: вне корпуса остаются кафедры, семинары, диссертационные советы, журналы, экспедиции, переводы и неформальные исследовательские кружки. Поэтому предмет статьи сформулирован уже: речь идет о публично наблюдаемой конференционной индологии, реконструируемой по опубликованным программам.</w:t>
      </w:r>
    </w:p>
    <w:p>
      <w:pPr>
        <w:pStyle w:val="BodyText"/>
      </w:pPr>
      <w:r>
        <w:t xml:space="preserve">У этой постановки есть важное преимущество. Конференционная программа является не частным свидетельством и не мемуарной реконструкцией, а регулярным публичным документом, где сообщество само показывает, кого оно называет участником, какие темы считает уместными и как описывает институциональную принадлежность докладчика. Программа не раскрывает всего механизма отбора, но фиксирует результат отбора в стандартизированной форме. Поэтому она особенно удобна для исследования не</w:t>
      </w:r>
      <w:r>
        <w:t xml:space="preserve"> </w:t>
      </w:r>
      <w:r>
        <w:t xml:space="preserve">“всей индологии”</w:t>
      </w:r>
      <w:r>
        <w:t xml:space="preserve">, а той ее части, которая становится видимой в публичном конференционном расписании.</w:t>
      </w:r>
    </w:p>
    <w:p>
      <w:pPr>
        <w:pStyle w:val="BodyText"/>
      </w:pPr>
      <w:r>
        <w:t xml:space="preserve">Сравнение именно Зографских и Рериховских чтений методически продуктивно потому, что эти площадки похожи по жанру, но различаются по месту, институциональному окружению и исторической памяти. Обе серии долгосрочны, обе связаны с крупными востоковедными центрами, обе сохраняют открытый формат научных чтений, но в публичной программе они создают разные картины дисциплины. Зографские чтения показывают более широкий и менее институционально маркированный круг участников; Рериховские чтения выглядят компактнее и чаще привязаны к институциональным аффилиациям. Вопрос состоит в том, является ли это впечатление только эффектом источника или за ним стоит устойчивая социальная и тематическая структура.</w:t>
      </w:r>
    </w:p>
    <w:p>
      <w:pPr>
        <w:pStyle w:val="BodyText"/>
      </w:pPr>
      <w:r>
        <w:t xml:space="preserve">Такой источник одновременно удобен и ограничен. Он позволяет видеть доклады, годы участия, составы секций, город или учреждение автора, но не фиксирует заявки, отказы, устные обсуждения и реальные биографические траектории за пределами программы. Отсюда главный методический вопрос: что именно можно утверждать на основе программ двух чтений, не превращая источник в свидетельство того, чего в нем нет?</w:t>
      </w:r>
    </w:p>
    <w:p>
      <w:pPr>
        <w:pStyle w:val="BodyText"/>
      </w:pPr>
      <w:r>
        <w:t xml:space="preserve">В статье проверяются три группы гипотез. Первая касается социальной структуры: являются ли две площадки частями единого поля или двумя относительно обособленными конференционными средами. Вторая касается тематического профиля: различаются ли чтения по дисциплинам и историческим периодам. Третья касается жанра доклада: преобладают ли в корпусе широкие синтетические обобщения или микрокейсы, построенные вокруг отдельного текста, автора, термина или источника.</w:t>
      </w:r>
    </w:p>
    <w:p>
      <w:pPr>
        <w:pStyle w:val="BodyText"/>
      </w:pPr>
      <w:r>
        <w:t xml:space="preserve">Слово</w:t>
      </w:r>
      <w:r>
        <w:t xml:space="preserve"> </w:t>
      </w:r>
      <w:r>
        <w:t xml:space="preserve">“закрытость”</w:t>
      </w:r>
      <w:r>
        <w:t xml:space="preserve"> </w:t>
      </w:r>
      <w:r>
        <w:t xml:space="preserve">в статье используется осторожно. Конференционная программа не позволяет доказать существование скрытого фильтра, потому что не содержит списка отклоненных заявок. Зато она позволяет измерить наблюдаемую структуру состава: сколько участников возвращается, насколько велико ядро, какова доля разовых докладчиков, пересекаются ли две площадки сильнее или слабее случайного ожидания. Поэтому речь идет не о психологической или административной</w:t>
      </w:r>
      <w:r>
        <w:t xml:space="preserve"> </w:t>
      </w:r>
      <w:r>
        <w:t xml:space="preserve">“закрытости”</w:t>
      </w:r>
      <w:r>
        <w:t xml:space="preserve">, а о публично наблюдаемой компактности, воспроизводимости и межплощадочной проницаемости.</w:t>
      </w:r>
    </w:p>
    <w:bookmarkEnd w:id="11"/>
    <w:bookmarkStart w:id="12" w:name="корпус-и-метод"/>
    <w:p>
      <w:pPr>
        <w:pStyle w:val="Heading2"/>
      </w:pPr>
      <w:r>
        <w:t xml:space="preserve">2. Корпус и метод</w:t>
      </w:r>
    </w:p>
    <w:p>
      <w:pPr>
        <w:pStyle w:val="FirstParagraph"/>
      </w:pPr>
      <w:r>
        <w:t xml:space="preserve">Материалом служит нормализованная реляционная база, собранная по опубликованным программам Зографских и Рериховских чтений. В нее включены 40 событийных записей; фактическое покрытие докладами составляет 22 программных года внутри диапазона 2004-2026 гг. В расширенный корпус вошли 286 уникальных ученых, 1350 уникальных докладов и 1377 авторских участий. Различие между докладом и авторским участием важно: доклады с соавторами дают несколько связей</w:t>
      </w:r>
      <w:r>
        <w:t xml:space="preserve"> </w:t>
      </w:r>
      <w:r>
        <w:t xml:space="preserve">“ученый - доклад”</w:t>
      </w:r>
      <w:r>
        <w:t xml:space="preserve">, поэтому карточек участия больше, чем заголовков.</w:t>
      </w:r>
    </w:p>
    <w:p>
      <w:pPr>
        <w:pStyle w:val="BodyText"/>
      </w:pPr>
      <w:r>
        <w:t xml:space="preserve">Единицей учета в разных частях статьи служат разные объекты. Когда обсуждается тематическая карта, используется доклад: один заголовок получает одну тематическую разметку. Когда обсуждается возвращаемость и активность ученых, используется авторское участие: один и тот же доклад с двумя авторами дает две связи</w:t>
      </w:r>
      <w:r>
        <w:t xml:space="preserve"> </w:t>
      </w:r>
      <w:r>
        <w:t xml:space="preserve">“ученый - доклад”</w:t>
      </w:r>
      <w:r>
        <w:t xml:space="preserve">. Когда обсуждается масштаб площадки, отдельно учитываются события, потому что часть лет известна как событийная запись без извлеченного полного списка докладов. Это разведение единиц учета необходимо, чтобы не смешивать историю программ, биографическую активность участников и тематическое содержание докладов.</w:t>
      </w:r>
    </w:p>
    <w:p>
      <w:pPr>
        <w:pStyle w:val="BodyText"/>
      </w:pPr>
      <w:r>
        <w:t xml:space="preserve">Программа XLVII Зографских чтений 2026 г. включена как предварительная публикация: 58 заявленных докладов и 61 авторское участие. Все показатели возвращаемости и удержания интерпретируются с учетом правого цензурирования: участники 2026 г. еще не имели возможности вернуться в последующие годы.</w:t>
      </w:r>
    </w:p>
    <w:p>
      <w:pPr>
        <w:pStyle w:val="BodyText"/>
      </w:pPr>
      <w:r>
        <w:t xml:space="preserve">Идентификация участников выполнялась через нормализацию вариантов имени и ручное разрешение спорных случаев. Для каждого доклада использованы две независимые классификации. Первая тематическая: дисциплина (L1), историко-культурный период (L2), материал и характер исследования. Вторая навигационная: шкала масштаба обобщения G1-G3. G1 означает микрокейс (отдельный текст, автор, источник, термин, локальный сюжет), G2 - явно заявленную традицию, школу, класс явлений или устойчивую историко-культурную линию, G3 - широкое межрегиональное, цивилизационное или методологическое обобщение.</w:t>
      </w:r>
    </w:p>
    <w:p>
      <w:pPr>
        <w:pStyle w:val="BodyText"/>
      </w:pPr>
      <w:r>
        <w:t xml:space="preserve">Расширенная разметка 1350 заголовков выполнена моделью DeepSeek по закрытому перечню тематических и мезоуровневых кодов. Для шкалы G введена защита от систематического завышения: регион, язык, эпоха, сравнение двух названных объектов или само слово</w:t>
      </w:r>
      <w:r>
        <w:t xml:space="preserve"> </w:t>
      </w:r>
      <w:r>
        <w:t xml:space="preserve">“традиция”</w:t>
      </w:r>
      <w:r>
        <w:t xml:space="preserve"> </w:t>
      </w:r>
      <w:r>
        <w:t xml:space="preserve">не переводят частный кейс из G1 в G2. Все предварительные G2/G3 прошли второй, более строгий модельный аудит; 81 назначение было понижено, после чего два оставшихся спорных G3 редакционно отнесены к G2 как обобщения одной философской традиции. Таким образом, незаполненная или ошибочно разобранная строка не могла автоматически получить G2.</w:t>
      </w:r>
    </w:p>
    <w:p>
      <w:pPr>
        <w:pStyle w:val="BodyText"/>
      </w:pPr>
      <w:r>
        <w:t xml:space="preserve">Тематическая разметка не претендует на окончательную классификацию индологических знаний. Она является инструментальной сеткой, позволяющей сравнивать две программы на одном языке. В спорных случаях предпочтение отдавалось тому признаку, который явно выражен в заголовке, а не предполагаемой специализации автора. Это особенно важно для междисциплинарных докладов: один и тот же заголовок может интересовать историка религии, филолога и историка науки, но для количественного сравнения он должен получить один основной код. Поэтому все выводы ниже относятся к распределению публичных заголовков, а не к полному интеллектуальному профилю автора.</w:t>
      </w:r>
    </w:p>
    <w:p>
      <w:pPr>
        <w:pStyle w:val="BodyText"/>
      </w:pPr>
      <w:r>
        <w:t xml:space="preserve">Для оценки пересечения площадок используется перестановочная нулевая модель с сохранением индивидуальной активности: каждое авторское участие сохраняет связь с конкретным ученым, но метка площадки случайно перераспределяется при сохранении общего объема Зографских и Рериховских чтений. Метрики концентрации и удержания трактуются описательно; для долей используются точный критерий Фишера и бутстреп-доверительные интервалы там, где это необходимо (Fisher 1925; Efron 1979). Индекс Джини применяется как мера неравномерности распределения докладов между участниками (Gini 1912). Просопографический подход понимается в широком смысле как количественная реконструкция группы по повторяющимся биографическим и событийным признакам (Stone 1971); цифровая публикация данных продолжает практику воспроизводимых гуманитарных корпусов (Schreibman et al. 2004).</w:t>
      </w:r>
    </w:p>
    <w:p>
      <w:pPr>
        <w:pStyle w:val="BodyText"/>
      </w:pPr>
      <w:r>
        <w:t xml:space="preserve">Нулевая модель нужна потому, что простая доля пересечения может вводить в заблуждение. Если один ученый выступил двадцать раз, а другой один раз, то вероятность случайно увидеть первого на обеих площадках выше. Поэтому модель сохраняет индивидуальную активность каждого участника и общий объем каждой площадки, меняя только распределение площадочных меток. Тем самым она отвечает на узкий вопрос: сколько общих участников ожидалось бы, если бы активные и редкие докладчики не имели площадочных предпочтений. Сравнение с этой моделью дает не абсолютную меру</w:t>
      </w:r>
      <w:r>
        <w:t xml:space="preserve"> </w:t>
      </w:r>
      <w:r>
        <w:t xml:space="preserve">“единства”</w:t>
      </w:r>
      <w:r>
        <w:t xml:space="preserve"> </w:t>
      </w:r>
      <w:r>
        <w:t xml:space="preserve">дисциплины, а меру отклонения от случайной проницаемости при той же активности.</w:t>
      </w:r>
    </w:p>
    <w:p>
      <w:pPr>
        <w:pStyle w:val="BodyText"/>
      </w:pPr>
      <w:r>
        <w:t xml:space="preserve">Все численные результаты воспроизводимы из локальной базы и опубликованных таблиц разметки. Для подачной версии в текст включены только агрегаты, необходимые для аргумента; полные списки участников, докладов, кодов L1/L2 и G1-G3 вынесены в цифровое приложение и рабочий репозиторий. Это решение связано не с второстепенностью данных, а с журнальным ограничением объема: полные приложения превращают статью в публикацию корпуса, тогда как здесь задача состоит в аналитическом изложении основных результатов.</w:t>
      </w:r>
    </w:p>
    <w:bookmarkEnd w:id="12"/>
    <w:bookmarkStart w:id="13" w:name="масштаб-и-структура-участия"/>
    <w:p>
      <w:pPr>
        <w:pStyle w:val="Heading2"/>
      </w:pPr>
      <w:r>
        <w:t xml:space="preserve">3. Масштаб и структура участия</w:t>
      </w:r>
    </w:p>
    <w:p>
      <w:pPr>
        <w:pStyle w:val="FirstParagraph"/>
      </w:pPr>
      <w:r>
        <w:t xml:space="preserve">Общий корпус асимметричен по объему: Зографские чтения дают 878 докладов, Рериховские - 472. По уникальным участникам различие еще сильнее: 221 ученый видим на Зографских чтениях и 106 - на Рериховских. При этом суммарное число уникальных ученых не равно 327, поскольку 41 человек выступал на обеих площадках.</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Показатель</w:t>
            </w:r>
          </w:p>
        </w:tc>
        <w:tc>
          <w:tcPr/>
          <w:p>
            <w:pPr>
              <w:pStyle w:val="Compact"/>
              <w:jc w:val="right"/>
            </w:pPr>
            <w:r>
              <w:t xml:space="preserve">Зографские чтения</w:t>
            </w:r>
          </w:p>
        </w:tc>
        <w:tc>
          <w:tcPr/>
          <w:p>
            <w:pPr>
              <w:pStyle w:val="Compact"/>
              <w:jc w:val="right"/>
            </w:pPr>
            <w:r>
              <w:t xml:space="preserve">Рериховские чтения</w:t>
            </w:r>
          </w:p>
        </w:tc>
        <w:tc>
          <w:tcPr/>
          <w:p>
            <w:pPr>
              <w:pStyle w:val="Compact"/>
              <w:jc w:val="right"/>
            </w:pPr>
            <w:r>
              <w:t xml:space="preserve">Всего</w:t>
            </w:r>
          </w:p>
        </w:tc>
      </w:tr>
      <w:tr>
        <w:tc>
          <w:tcPr/>
          <w:p>
            <w:pPr>
              <w:pStyle w:val="Compact"/>
            </w:pPr>
            <w:r>
              <w:t xml:space="preserve">Уникальные ученые</w:t>
            </w:r>
          </w:p>
        </w:tc>
        <w:tc>
          <w:tcPr/>
          <w:p>
            <w:pPr>
              <w:pStyle w:val="Compact"/>
              <w:jc w:val="right"/>
            </w:pPr>
            <w:r>
              <w:t xml:space="preserve">221</w:t>
            </w:r>
          </w:p>
        </w:tc>
        <w:tc>
          <w:tcPr/>
          <w:p>
            <w:pPr>
              <w:pStyle w:val="Compact"/>
              <w:jc w:val="right"/>
            </w:pPr>
            <w:r>
              <w:t xml:space="preserve">106</w:t>
            </w:r>
          </w:p>
        </w:tc>
        <w:tc>
          <w:tcPr/>
          <w:p>
            <w:pPr>
              <w:pStyle w:val="Compact"/>
              <w:jc w:val="right"/>
            </w:pPr>
            <w:r>
              <w:t xml:space="preserve">286</w:t>
            </w:r>
          </w:p>
        </w:tc>
      </w:tr>
      <w:tr>
        <w:tc>
          <w:tcPr/>
          <w:p>
            <w:pPr>
              <w:pStyle w:val="Compact"/>
            </w:pPr>
            <w:r>
              <w:t xml:space="preserve">Уникальные доклады</w:t>
            </w:r>
          </w:p>
        </w:tc>
        <w:tc>
          <w:tcPr/>
          <w:p>
            <w:pPr>
              <w:pStyle w:val="Compact"/>
              <w:jc w:val="right"/>
            </w:pPr>
            <w:r>
              <w:t xml:space="preserve">878</w:t>
            </w:r>
          </w:p>
        </w:tc>
        <w:tc>
          <w:tcPr/>
          <w:p>
            <w:pPr>
              <w:pStyle w:val="Compact"/>
              <w:jc w:val="right"/>
            </w:pPr>
            <w:r>
              <w:t xml:space="preserve">472</w:t>
            </w:r>
          </w:p>
        </w:tc>
        <w:tc>
          <w:tcPr/>
          <w:p>
            <w:pPr>
              <w:pStyle w:val="Compact"/>
              <w:jc w:val="right"/>
            </w:pPr>
            <w:r>
              <w:t xml:space="preserve">1350</w:t>
            </w:r>
          </w:p>
        </w:tc>
      </w:tr>
      <w:tr>
        <w:tc>
          <w:tcPr/>
          <w:p>
            <w:pPr>
              <w:pStyle w:val="Compact"/>
            </w:pPr>
            <w:r>
              <w:t xml:space="preserve">Авторские участия</w:t>
            </w:r>
          </w:p>
        </w:tc>
        <w:tc>
          <w:tcPr/>
          <w:p>
            <w:pPr>
              <w:pStyle w:val="Compact"/>
              <w:jc w:val="right"/>
            </w:pPr>
            <w:r>
              <w:t xml:space="preserve">900</w:t>
            </w:r>
          </w:p>
        </w:tc>
        <w:tc>
          <w:tcPr/>
          <w:p>
            <w:pPr>
              <w:pStyle w:val="Compact"/>
              <w:jc w:val="right"/>
            </w:pPr>
            <w:r>
              <w:t xml:space="preserve">477</w:t>
            </w:r>
          </w:p>
        </w:tc>
        <w:tc>
          <w:tcPr/>
          <w:p>
            <w:pPr>
              <w:pStyle w:val="Compact"/>
              <w:jc w:val="right"/>
            </w:pPr>
            <w:r>
              <w:t xml:space="preserve">1377</w:t>
            </w:r>
          </w:p>
        </w:tc>
      </w:tr>
      <w:tr>
        <w:tc>
          <w:tcPr/>
          <w:p>
            <w:pPr>
              <w:pStyle w:val="Compact"/>
            </w:pPr>
            <w:r>
              <w:t xml:space="preserve">Доля разовых участников, %</w:t>
            </w:r>
          </w:p>
        </w:tc>
        <w:tc>
          <w:tcPr/>
          <w:p>
            <w:pPr>
              <w:pStyle w:val="Compact"/>
              <w:jc w:val="right"/>
            </w:pPr>
            <w:r>
              <w:t xml:space="preserve">45.7</w:t>
            </w:r>
          </w:p>
        </w:tc>
        <w:tc>
          <w:tcPr/>
          <w:p>
            <w:pPr>
              <w:pStyle w:val="Compact"/>
              <w:jc w:val="right"/>
            </w:pPr>
            <w:r>
              <w:t xml:space="preserve">35.8</w:t>
            </w:r>
          </w:p>
        </w:tc>
        <w:tc>
          <w:tcPr/>
          <w:p>
            <w:pPr>
              <w:pStyle w:val="Compact"/>
              <w:jc w:val="right"/>
            </w:pPr>
            <w:r>
              <w:t xml:space="preserve">45.5</w:t>
            </w:r>
          </w:p>
        </w:tc>
      </w:tr>
      <w:tr>
        <w:tc>
          <w:tcPr/>
          <w:p>
            <w:pPr>
              <w:pStyle w:val="Compact"/>
            </w:pPr>
            <w:r>
              <w:t xml:space="preserve">Доля ядра (&gt;=5 докладов), %</w:t>
            </w:r>
          </w:p>
        </w:tc>
        <w:tc>
          <w:tcPr/>
          <w:p>
            <w:pPr>
              <w:pStyle w:val="Compact"/>
              <w:jc w:val="right"/>
            </w:pPr>
            <w:r>
              <w:t xml:space="preserve">31.2</w:t>
            </w:r>
          </w:p>
        </w:tc>
        <w:tc>
          <w:tcPr/>
          <w:p>
            <w:pPr>
              <w:pStyle w:val="Compact"/>
              <w:jc w:val="right"/>
            </w:pPr>
            <w:r>
              <w:t xml:space="preserve">33.0</w:t>
            </w:r>
          </w:p>
        </w:tc>
        <w:tc>
          <w:tcPr/>
          <w:p>
            <w:pPr>
              <w:pStyle w:val="Compact"/>
              <w:jc w:val="right"/>
            </w:pPr>
            <w:r>
              <w:t xml:space="preserve">33.2</w:t>
            </w:r>
          </w:p>
        </w:tc>
      </w:tr>
      <w:tr>
        <w:tc>
          <w:tcPr/>
          <w:p>
            <w:pPr>
              <w:pStyle w:val="Compact"/>
            </w:pPr>
            <w:r>
              <w:t xml:space="preserve">Удержание, %</w:t>
            </w:r>
          </w:p>
        </w:tc>
        <w:tc>
          <w:tcPr/>
          <w:p>
            <w:pPr>
              <w:pStyle w:val="Compact"/>
              <w:jc w:val="right"/>
            </w:pPr>
            <w:r>
              <w:t xml:space="preserve">54.3</w:t>
            </w:r>
          </w:p>
        </w:tc>
        <w:tc>
          <w:tcPr/>
          <w:p>
            <w:pPr>
              <w:pStyle w:val="Compact"/>
              <w:jc w:val="right"/>
            </w:pPr>
            <w:r>
              <w:t xml:space="preserve">64.2</w:t>
            </w:r>
          </w:p>
        </w:tc>
        <w:tc>
          <w:tcPr/>
          <w:p>
            <w:pPr>
              <w:pStyle w:val="Compact"/>
              <w:jc w:val="right"/>
            </w:pPr>
            <w:r>
              <w:t xml:space="preserve">54.5</w:t>
            </w:r>
          </w:p>
        </w:tc>
      </w:tr>
      <w:tr>
        <w:tc>
          <w:tcPr/>
          <w:p>
            <w:pPr>
              <w:pStyle w:val="Compact"/>
            </w:pPr>
            <w:r>
              <w:t xml:space="preserve">Индекс Джини</w:t>
            </w:r>
          </w:p>
        </w:tc>
        <w:tc>
          <w:tcPr/>
          <w:p>
            <w:pPr>
              <w:pStyle w:val="Compact"/>
              <w:jc w:val="right"/>
            </w:pPr>
            <w:r>
              <w:t xml:space="preserve">0.533</w:t>
            </w:r>
          </w:p>
        </w:tc>
        <w:tc>
          <w:tcPr/>
          <w:p>
            <w:pPr>
              <w:pStyle w:val="Compact"/>
              <w:jc w:val="right"/>
            </w:pPr>
            <w:r>
              <w:t xml:space="preserve">0.503</w:t>
            </w:r>
          </w:p>
        </w:tc>
        <w:tc>
          <w:tcPr/>
          <w:p>
            <w:pPr>
              <w:pStyle w:val="Compact"/>
              <w:jc w:val="right"/>
            </w:pPr>
            <w:r>
              <w:t xml:space="preserve">0.563</w:t>
            </w:r>
          </w:p>
        </w:tc>
      </w:tr>
    </w:tbl>
    <w:p>
      <w:pPr>
        <w:pStyle w:val="BodyText"/>
      </w:pPr>
      <w:r>
        <w:t xml:space="preserve">На уровне простых описательных метрик Рериховские чтения выглядят более компактной и самовоспроизводящейся средой: доля ядра выше, доля разовых участников ниже, удержание дебютантов немного выше. Однако эти различия не следует превращать в доказательство скрытого механизма отбора. Доверительные интервалы доли ядра и удержания заметно перекрываются, а индекс Джини почти одинаков. Следовательно, более корректная формула такова: Рериховские чтения являются меньшей и плотнее организованной публичной средой, тогда как Зографские чтения - более широкой площадкой с большим числом эпизодических входов.</w:t>
      </w:r>
    </w:p>
    <w:p>
      <w:pPr>
        <w:pStyle w:val="BodyText"/>
      </w:pPr>
      <w:r>
        <w:t xml:space="preserve">Правое цензурирование 2026 г. не меняет этот вывод, но делает его осторожнее. Если отсечь предварительную программу Зографских чтений 2026 г. и считать только состоявшиеся события по 2025 г., Зографские чтения дают 202 ученых, 820 докладов и 839 авторских участий. Доля ядра тогда составляет 32.2%, доля разовых участников - 42.6%, удержание - 57.4%, индекс Джини - 0.521. Иными словами, включение 2026 г. усиливает впечатление более широкого слоя новых входов, но не создает его заново.</w:t>
      </w:r>
    </w:p>
    <w:p>
      <w:pPr>
        <w:pStyle w:val="BodyText"/>
      </w:pPr>
      <w:r>
        <w:t xml:space="preserve">Разница между</w:t>
      </w:r>
      <w:r>
        <w:t xml:space="preserve"> </w:t>
      </w:r>
      <w:r>
        <w:t xml:space="preserve">“меньшей площадкой”</w:t>
      </w:r>
      <w:r>
        <w:t xml:space="preserve"> </w:t>
      </w:r>
      <w:r>
        <w:t xml:space="preserve">и</w:t>
      </w:r>
      <w:r>
        <w:t xml:space="preserve"> </w:t>
      </w:r>
      <w:r>
        <w:t xml:space="preserve">“более закрытой площадкой”</w:t>
      </w:r>
      <w:r>
        <w:t xml:space="preserve"> </w:t>
      </w:r>
      <w:r>
        <w:t xml:space="preserve">здесь принципиальна. Рериховские чтения могут иметь более высокий процент ядра просто потому, что их общий круг уже. При малом числе участников каждый регулярно возвращающийся автор сильнее влияет на долю ядра. Поэтому статья не утверждает, что Рериховские чтения имеют доказанный скрытый фильтр. Надежнее говорить о другой конфигурации публичной устойчивости: в Москве видна компактная среда с более высоким удельным весом повторных участников, а в Петербурге - более широкая среда, где рядом с ядром постоянно возникает значительный слой разовых входов.</w:t>
      </w:r>
    </w:p>
    <w:p>
      <w:pPr>
        <w:pStyle w:val="BodyText"/>
      </w:pPr>
      <w:r>
        <w:t xml:space="preserve">Самый неожиданный результат связан не с плотностью ядра, а с пересечением площадок. Из 286 ученых только 41, или 14.3%, выступал и на Зографских, и на Рериховских чтениях. Само по себе это число могло бы казаться значительным. Но перестановочная модель показывает обратное: при случайном распределении той же индивидуальной активности между двумя площадками ожидалось бы 128.4 общих участника (стандартное отклонение 3.9). Наблюдаемое значение более чем на 22 стандартных отклонения ниже ожидания (одностороннее p &lt; 0.0001). Это значит, что две конференционные среды связаны заметно слабее, чем предсказывает простая модель активности.</w:t>
      </w:r>
    </w:p>
    <w:p>
      <w:pPr>
        <w:pStyle w:val="BodyText"/>
      </w:pPr>
      <w:r>
        <w:t xml:space="preserve">Именно поэтому пересечение в 41 человека не следует романтизировать как</w:t>
      </w:r>
      <w:r>
        <w:t xml:space="preserve"> </w:t>
      </w:r>
      <w:r>
        <w:t xml:space="preserve">“общее ядро российской индологии”</w:t>
      </w:r>
      <w:r>
        <w:t xml:space="preserve">. Оно скорее показывает, насколько мал слой ученых, которые регулярно или хотя бы эпизодически переводят свои темы между двумя публичными площадками. В абсолютном выражении этот слой достаточно велик, чтобы удерживать коммуникацию между Москвой и Петербургом; в сравнении с нулевой моделью он чрезвычайно мал. На этом напряжении и строится главный вывод: поле не распадается полностью, но его публичная конференционная проницаемость существенно ниже, чем можно было бы ожидать по одной только активности участников.</w:t>
      </w:r>
    </w:p>
    <w:p>
      <w:pPr>
        <w:pStyle w:val="BodyText"/>
      </w:pPr>
      <w:r>
        <w:t xml:space="preserve">Этот результат меняет смысл перекрестной когорты. 41 общий участник - не доказательство единства двух площадок, а, напротив, небольшой мостовой слой между двумя частично изолированными средами. Их роль важна именно потому, что переход между площадками редок. По сессионному графу наиболее заметные посредники соединяют не только города, но и тематические блоки программ; однако даже они чаще переносят собственные устойчивые специализации, чем выступают как универсальные синтетики.</w:t>
      </w:r>
    </w:p>
    <w:p>
      <w:pPr>
        <w:pStyle w:val="BodyText"/>
      </w:pPr>
      <w:r>
        <w:t xml:space="preserve">Мостовая роль, следовательно, имеет не только социальный, но и жанровый характер. Перекрестный участник не обязательно является автором наиболее общих докладов или представителем</w:t>
      </w:r>
      <w:r>
        <w:t xml:space="preserve"> </w:t>
      </w:r>
      <w:r>
        <w:t xml:space="preserve">“средней”</w:t>
      </w:r>
      <w:r>
        <w:t xml:space="preserve"> </w:t>
      </w:r>
      <w:r>
        <w:t xml:space="preserve">позиции между двумя программами. Напротив, данные показывают, что многие такие участники сохраняют собственный тематический профиль и переносят его из одной среды в другую. Это делает их посредниками не потому, что они говорят обо всем, а потому, что их частная специализация оказывается приемлемой и узнаваемой в обоих контекстах.</w:t>
      </w:r>
    </w:p>
    <w:bookmarkEnd w:id="13"/>
    <w:bookmarkStart w:id="14" w:name="Xf79e46202706fd94d47069bbaf449805589bb46"/>
    <w:p>
      <w:pPr>
        <w:pStyle w:val="Heading2"/>
      </w:pPr>
      <w:r>
        <w:t xml:space="preserve">4. Тематические профили и источник аффилиации</w:t>
      </w:r>
    </w:p>
    <w:p>
      <w:pPr>
        <w:pStyle w:val="FirstParagraph"/>
      </w:pPr>
      <w:r>
        <w:t xml:space="preserve">Тематические различия между площадками устойчивее, чем различия в метриках компактности. По дисциплинарной оси L1 Зографские чтения сильнее связаны с литературоведением, философией и религиоведением, а Рериховские - с религиоведением, историей, литературой и искусством. Формальная проверка распределения L1 дает статистически значимое различие: chi-square = 64.48, p &lt; 0.000000001, V Крамера = 0.219.</w:t>
      </w:r>
    </w:p>
    <w:p>
      <w:pPr>
        <w:pStyle w:val="BodyText"/>
      </w:pPr>
      <w:r>
        <w:t xml:space="preserve">В абсолютных числах обе площадки имеют общий индологический фундамент: религия, литература, философия, филология и история дают основную массу докладов. Но их пропорции различны. На Зографских чтениях религиоведение, литература и философия близки: 205 религиоведческих докладов из 878 (23.3%), 195 литературных (22.2%) и 189 философских (21.5%). На Рериховских чтениях религиоведение занимает первое место: 144 доклада из 472 (30.5%), далее идут история (19.3%) и литература (18.9%). Искусство и археология также заметнее на Рериховских чтениях: 8.9% против 5.2% на Зографе.</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Дисциплина L1</w:t>
            </w:r>
          </w:p>
        </w:tc>
        <w:tc>
          <w:tcPr/>
          <w:p>
            <w:pPr>
              <w:pStyle w:val="Compact"/>
              <w:jc w:val="right"/>
            </w:pPr>
            <w:r>
              <w:t xml:space="preserve">Зограф, n (%)</w:t>
            </w:r>
          </w:p>
        </w:tc>
        <w:tc>
          <w:tcPr/>
          <w:p>
            <w:pPr>
              <w:pStyle w:val="Compact"/>
              <w:jc w:val="right"/>
            </w:pPr>
            <w:r>
              <w:t xml:space="preserve">Рерих, n (%)</w:t>
            </w:r>
          </w:p>
        </w:tc>
      </w:tr>
      <w:tr>
        <w:tc>
          <w:tcPr/>
          <w:p>
            <w:pPr>
              <w:pStyle w:val="Compact"/>
            </w:pPr>
            <w:r>
              <w:t xml:space="preserve">Религиоведение</w:t>
            </w:r>
          </w:p>
        </w:tc>
        <w:tc>
          <w:tcPr/>
          <w:p>
            <w:pPr>
              <w:pStyle w:val="Compact"/>
              <w:jc w:val="right"/>
            </w:pPr>
            <w:r>
              <w:t xml:space="preserve">205 (23.3)</w:t>
            </w:r>
          </w:p>
        </w:tc>
        <w:tc>
          <w:tcPr/>
          <w:p>
            <w:pPr>
              <w:pStyle w:val="Compact"/>
              <w:jc w:val="right"/>
            </w:pPr>
            <w:r>
              <w:t xml:space="preserve">144 (30.5)</w:t>
            </w:r>
          </w:p>
        </w:tc>
      </w:tr>
      <w:tr>
        <w:tc>
          <w:tcPr/>
          <w:p>
            <w:pPr>
              <w:pStyle w:val="Compact"/>
            </w:pPr>
            <w:r>
              <w:t xml:space="preserve">Литература</w:t>
            </w:r>
          </w:p>
        </w:tc>
        <w:tc>
          <w:tcPr/>
          <w:p>
            <w:pPr>
              <w:pStyle w:val="Compact"/>
              <w:jc w:val="right"/>
            </w:pPr>
            <w:r>
              <w:t xml:space="preserve">195 (22.2)</w:t>
            </w:r>
          </w:p>
        </w:tc>
        <w:tc>
          <w:tcPr/>
          <w:p>
            <w:pPr>
              <w:pStyle w:val="Compact"/>
              <w:jc w:val="right"/>
            </w:pPr>
            <w:r>
              <w:t xml:space="preserve">89 (18.9)</w:t>
            </w:r>
          </w:p>
        </w:tc>
      </w:tr>
      <w:tr>
        <w:tc>
          <w:tcPr/>
          <w:p>
            <w:pPr>
              <w:pStyle w:val="Compact"/>
            </w:pPr>
            <w:r>
              <w:t xml:space="preserve">Философия</w:t>
            </w:r>
          </w:p>
        </w:tc>
        <w:tc>
          <w:tcPr/>
          <w:p>
            <w:pPr>
              <w:pStyle w:val="Compact"/>
              <w:jc w:val="right"/>
            </w:pPr>
            <w:r>
              <w:t xml:space="preserve">189 (21.5)</w:t>
            </w:r>
          </w:p>
        </w:tc>
        <w:tc>
          <w:tcPr/>
          <w:p>
            <w:pPr>
              <w:pStyle w:val="Compact"/>
              <w:jc w:val="right"/>
            </w:pPr>
            <w:r>
              <w:t xml:space="preserve">49 (10.4)</w:t>
            </w:r>
          </w:p>
        </w:tc>
      </w:tr>
      <w:tr>
        <w:tc>
          <w:tcPr/>
          <w:p>
            <w:pPr>
              <w:pStyle w:val="Compact"/>
            </w:pPr>
            <w:r>
              <w:t xml:space="preserve">Лингвистика и филология</w:t>
            </w:r>
          </w:p>
        </w:tc>
        <w:tc>
          <w:tcPr/>
          <w:p>
            <w:pPr>
              <w:pStyle w:val="Compact"/>
              <w:jc w:val="right"/>
            </w:pPr>
            <w:r>
              <w:t xml:space="preserve">87 (9.9)</w:t>
            </w:r>
          </w:p>
        </w:tc>
        <w:tc>
          <w:tcPr/>
          <w:p>
            <w:pPr>
              <w:pStyle w:val="Compact"/>
              <w:jc w:val="right"/>
            </w:pPr>
            <w:r>
              <w:t xml:space="preserve">44 (9.3)</w:t>
            </w:r>
          </w:p>
        </w:tc>
      </w:tr>
      <w:tr>
        <w:tc>
          <w:tcPr/>
          <w:p>
            <w:pPr>
              <w:pStyle w:val="Compact"/>
            </w:pPr>
            <w:r>
              <w:t xml:space="preserve">История</w:t>
            </w:r>
          </w:p>
        </w:tc>
        <w:tc>
          <w:tcPr/>
          <w:p>
            <w:pPr>
              <w:pStyle w:val="Compact"/>
              <w:jc w:val="right"/>
            </w:pPr>
            <w:r>
              <w:t xml:space="preserve">94 (10.7)</w:t>
            </w:r>
          </w:p>
        </w:tc>
        <w:tc>
          <w:tcPr/>
          <w:p>
            <w:pPr>
              <w:pStyle w:val="Compact"/>
              <w:jc w:val="right"/>
            </w:pPr>
            <w:r>
              <w:t xml:space="preserve">91 (19.3)</w:t>
            </w:r>
          </w:p>
        </w:tc>
      </w:tr>
      <w:tr>
        <w:tc>
          <w:tcPr/>
          <w:p>
            <w:pPr>
              <w:pStyle w:val="Compact"/>
            </w:pPr>
            <w:r>
              <w:t xml:space="preserve">Искусство и археология</w:t>
            </w:r>
          </w:p>
        </w:tc>
        <w:tc>
          <w:tcPr/>
          <w:p>
            <w:pPr>
              <w:pStyle w:val="Compact"/>
              <w:jc w:val="right"/>
            </w:pPr>
            <w:r>
              <w:t xml:space="preserve">46 (5.2)</w:t>
            </w:r>
          </w:p>
        </w:tc>
        <w:tc>
          <w:tcPr/>
          <w:p>
            <w:pPr>
              <w:pStyle w:val="Compact"/>
              <w:jc w:val="right"/>
            </w:pPr>
            <w:r>
              <w:t xml:space="preserve">42 (8.9)</w:t>
            </w:r>
          </w:p>
        </w:tc>
      </w:tr>
      <w:tr>
        <w:tc>
          <w:tcPr/>
          <w:p>
            <w:pPr>
              <w:pStyle w:val="Compact"/>
            </w:pPr>
            <w:r>
              <w:t xml:space="preserve">Этнография</w:t>
            </w:r>
          </w:p>
        </w:tc>
        <w:tc>
          <w:tcPr/>
          <w:p>
            <w:pPr>
              <w:pStyle w:val="Compact"/>
              <w:jc w:val="right"/>
            </w:pPr>
            <w:r>
              <w:t xml:space="preserve">49 (5.6)</w:t>
            </w:r>
          </w:p>
        </w:tc>
        <w:tc>
          <w:tcPr/>
          <w:p>
            <w:pPr>
              <w:pStyle w:val="Compact"/>
              <w:jc w:val="right"/>
            </w:pPr>
            <w:r>
              <w:t xml:space="preserve">8 (1.7)</w:t>
            </w:r>
          </w:p>
        </w:tc>
      </w:tr>
      <w:tr>
        <w:tc>
          <w:tcPr/>
          <w:p>
            <w:pPr>
              <w:pStyle w:val="Compact"/>
            </w:pPr>
            <w:r>
              <w:t xml:space="preserve">Тибетология</w:t>
            </w:r>
          </w:p>
        </w:tc>
        <w:tc>
          <w:tcPr/>
          <w:p>
            <w:pPr>
              <w:pStyle w:val="Compact"/>
              <w:jc w:val="right"/>
            </w:pPr>
            <w:r>
              <w:t xml:space="preserve">3 (0.3)</w:t>
            </w:r>
          </w:p>
        </w:tc>
        <w:tc>
          <w:tcPr/>
          <w:p>
            <w:pPr>
              <w:pStyle w:val="Compact"/>
              <w:jc w:val="right"/>
            </w:pPr>
            <w:r>
              <w:t xml:space="preserve">1 (0.2)</w:t>
            </w:r>
          </w:p>
        </w:tc>
      </w:tr>
      <w:tr>
        <w:tc>
          <w:tcPr/>
          <w:p>
            <w:pPr>
              <w:pStyle w:val="Compact"/>
            </w:pPr>
            <w:r>
              <w:t xml:space="preserve">Прочее и прикладные темы</w:t>
            </w:r>
          </w:p>
        </w:tc>
        <w:tc>
          <w:tcPr/>
          <w:p>
            <w:pPr>
              <w:pStyle w:val="Compact"/>
              <w:jc w:val="right"/>
            </w:pPr>
            <w:r>
              <w:t xml:space="preserve">10 (1.1)</w:t>
            </w:r>
          </w:p>
        </w:tc>
        <w:tc>
          <w:tcPr/>
          <w:p>
            <w:pPr>
              <w:pStyle w:val="Compact"/>
              <w:jc w:val="right"/>
            </w:pPr>
            <w:r>
              <w:t xml:space="preserve">4 (0.8)</w:t>
            </w:r>
          </w:p>
        </w:tc>
      </w:tr>
    </w:tbl>
    <w:p>
      <w:pPr>
        <w:pStyle w:val="BodyText"/>
      </w:pPr>
      <w:r>
        <w:t xml:space="preserve">Еще отчетливее различие по историко-культурному периоду L2. Рериховские чтения концентрируют 75.0% докладов на классическом и средневековом периодах. У Зографских чтений те же периоды составляют 55.5%, а оставшаяся часть корпуса шире распределяется между ведийскими, колониальными, современными и внехронологическими сюжетами. Для L2 различие также устойчиво: chi-square = 75.95, p &lt; 0.000000000001, V Крамера = 0.237.</w:t>
      </w:r>
    </w:p>
    <w:p>
      <w:pPr>
        <w:pStyle w:val="BodyText"/>
      </w:pPr>
      <w:r>
        <w:t xml:space="preserve">Эта хронологическая асимметрия особенно показательна, потому что обе серии формально принадлежат к одной индологической области. Классический период занимает 36.1% на Зографе и 47.0% на Рерихе, средневековый - соответственно 19.4% и 28.0%. Зато Зографские чтения заметно чаще допускают колониальные и современные сюжеты; расширение программ не снимает, а уточняет различие тематических оптик.</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Период L2</w:t>
            </w:r>
          </w:p>
        </w:tc>
        <w:tc>
          <w:tcPr/>
          <w:p>
            <w:pPr>
              <w:pStyle w:val="Compact"/>
              <w:jc w:val="right"/>
            </w:pPr>
            <w:r>
              <w:t xml:space="preserve">Зограф, n (%)</w:t>
            </w:r>
          </w:p>
        </w:tc>
        <w:tc>
          <w:tcPr/>
          <w:p>
            <w:pPr>
              <w:pStyle w:val="Compact"/>
              <w:jc w:val="right"/>
            </w:pPr>
            <w:r>
              <w:t xml:space="preserve">Рерих, n (%)</w:t>
            </w:r>
          </w:p>
        </w:tc>
      </w:tr>
      <w:tr>
        <w:tc>
          <w:tcPr/>
          <w:p>
            <w:pPr>
              <w:pStyle w:val="Compact"/>
            </w:pPr>
            <w:r>
              <w:t xml:space="preserve">Ведийский</w:t>
            </w:r>
          </w:p>
        </w:tc>
        <w:tc>
          <w:tcPr/>
          <w:p>
            <w:pPr>
              <w:pStyle w:val="Compact"/>
              <w:jc w:val="right"/>
            </w:pPr>
            <w:r>
              <w:t xml:space="preserve">60 (6.8)</w:t>
            </w:r>
          </w:p>
        </w:tc>
        <w:tc>
          <w:tcPr/>
          <w:p>
            <w:pPr>
              <w:pStyle w:val="Compact"/>
              <w:jc w:val="right"/>
            </w:pPr>
            <w:r>
              <w:t xml:space="preserve">18 (3.8)</w:t>
            </w:r>
          </w:p>
        </w:tc>
      </w:tr>
      <w:tr>
        <w:tc>
          <w:tcPr/>
          <w:p>
            <w:pPr>
              <w:pStyle w:val="Compact"/>
            </w:pPr>
            <w:r>
              <w:t xml:space="preserve">Классический</w:t>
            </w:r>
          </w:p>
        </w:tc>
        <w:tc>
          <w:tcPr/>
          <w:p>
            <w:pPr>
              <w:pStyle w:val="Compact"/>
              <w:jc w:val="right"/>
            </w:pPr>
            <w:r>
              <w:t xml:space="preserve">317 (36.1)</w:t>
            </w:r>
          </w:p>
        </w:tc>
        <w:tc>
          <w:tcPr/>
          <w:p>
            <w:pPr>
              <w:pStyle w:val="Compact"/>
              <w:jc w:val="right"/>
            </w:pPr>
            <w:r>
              <w:t xml:space="preserve">222 (47.0)</w:t>
            </w:r>
          </w:p>
        </w:tc>
      </w:tr>
      <w:tr>
        <w:tc>
          <w:tcPr/>
          <w:p>
            <w:pPr>
              <w:pStyle w:val="Compact"/>
            </w:pPr>
            <w:r>
              <w:t xml:space="preserve">Средневековый</w:t>
            </w:r>
          </w:p>
        </w:tc>
        <w:tc>
          <w:tcPr/>
          <w:p>
            <w:pPr>
              <w:pStyle w:val="Compact"/>
              <w:jc w:val="right"/>
            </w:pPr>
            <w:r>
              <w:t xml:space="preserve">170 (19.4)</w:t>
            </w:r>
          </w:p>
        </w:tc>
        <w:tc>
          <w:tcPr/>
          <w:p>
            <w:pPr>
              <w:pStyle w:val="Compact"/>
              <w:jc w:val="right"/>
            </w:pPr>
            <w:r>
              <w:t xml:space="preserve">132 (28.0)</w:t>
            </w:r>
          </w:p>
        </w:tc>
      </w:tr>
      <w:tr>
        <w:tc>
          <w:tcPr/>
          <w:p>
            <w:pPr>
              <w:pStyle w:val="Compact"/>
            </w:pPr>
            <w:r>
              <w:t xml:space="preserve">Колониальный</w:t>
            </w:r>
          </w:p>
        </w:tc>
        <w:tc>
          <w:tcPr/>
          <w:p>
            <w:pPr>
              <w:pStyle w:val="Compact"/>
              <w:jc w:val="right"/>
            </w:pPr>
            <w:r>
              <w:t xml:space="preserve">91 (10.4)</w:t>
            </w:r>
          </w:p>
        </w:tc>
        <w:tc>
          <w:tcPr/>
          <w:p>
            <w:pPr>
              <w:pStyle w:val="Compact"/>
              <w:jc w:val="right"/>
            </w:pPr>
            <w:r>
              <w:t xml:space="preserve">16 (3.4)</w:t>
            </w:r>
          </w:p>
        </w:tc>
      </w:tr>
      <w:tr>
        <w:tc>
          <w:tcPr/>
          <w:p>
            <w:pPr>
              <w:pStyle w:val="Compact"/>
            </w:pPr>
            <w:r>
              <w:t xml:space="preserve">Новое время / модерн</w:t>
            </w:r>
          </w:p>
        </w:tc>
        <w:tc>
          <w:tcPr/>
          <w:p>
            <w:pPr>
              <w:pStyle w:val="Compact"/>
              <w:jc w:val="right"/>
            </w:pPr>
            <w:r>
              <w:t xml:space="preserve">94 (10.7)</w:t>
            </w:r>
          </w:p>
        </w:tc>
        <w:tc>
          <w:tcPr/>
          <w:p>
            <w:pPr>
              <w:pStyle w:val="Compact"/>
              <w:jc w:val="right"/>
            </w:pPr>
            <w:r>
              <w:t xml:space="preserve">51 (10.8)</w:t>
            </w:r>
          </w:p>
        </w:tc>
      </w:tr>
      <w:tr>
        <w:tc>
          <w:tcPr/>
          <w:p>
            <w:pPr>
              <w:pStyle w:val="Compact"/>
            </w:pPr>
            <w:r>
              <w:t xml:space="preserve">Современность</w:t>
            </w:r>
          </w:p>
        </w:tc>
        <w:tc>
          <w:tcPr/>
          <w:p>
            <w:pPr>
              <w:pStyle w:val="Compact"/>
              <w:jc w:val="right"/>
            </w:pPr>
            <w:r>
              <w:t xml:space="preserve">101 (11.5)</w:t>
            </w:r>
          </w:p>
        </w:tc>
        <w:tc>
          <w:tcPr/>
          <w:p>
            <w:pPr>
              <w:pStyle w:val="Compact"/>
              <w:jc w:val="right"/>
            </w:pPr>
            <w:r>
              <w:t xml:space="preserve">10 (2.1)</w:t>
            </w:r>
          </w:p>
        </w:tc>
      </w:tr>
      <w:tr>
        <w:tc>
          <w:tcPr/>
          <w:p>
            <w:pPr>
              <w:pStyle w:val="Compact"/>
            </w:pPr>
            <w:r>
              <w:t xml:space="preserve">Без жесткой привязки</w:t>
            </w:r>
          </w:p>
        </w:tc>
        <w:tc>
          <w:tcPr/>
          <w:p>
            <w:pPr>
              <w:pStyle w:val="Compact"/>
              <w:jc w:val="right"/>
            </w:pPr>
            <w:r>
              <w:t xml:space="preserve">45 (5.1)</w:t>
            </w:r>
          </w:p>
        </w:tc>
        <w:tc>
          <w:tcPr/>
          <w:p>
            <w:pPr>
              <w:pStyle w:val="Compact"/>
              <w:jc w:val="right"/>
            </w:pPr>
            <w:r>
              <w:t xml:space="preserve">23 (4.9)</w:t>
            </w:r>
          </w:p>
        </w:tc>
      </w:tr>
    </w:tbl>
    <w:p>
      <w:pPr>
        <w:pStyle w:val="BodyText"/>
      </w:pPr>
      <w:r>
        <w:t xml:space="preserve">Рериховский профиль можно описать как более сильную фиксацию на</w:t>
      </w:r>
      <w:r>
        <w:t xml:space="preserve"> </w:t>
      </w:r>
      <w:r>
        <w:t xml:space="preserve">“золотом веке”</w:t>
      </w:r>
      <w:r>
        <w:t xml:space="preserve"> </w:t>
      </w:r>
      <w:r>
        <w:t xml:space="preserve">индологической классики и средневековья. Зографский профиль, напротив, сочетает классический корпус с большей терпимостью к темам нового и новейшего времени, философским обобщениям, этнографическим и внехронологическим сюжетам. Поэтому различие площадок не сводится к тому, что одна из них</w:t>
      </w:r>
      <w:r>
        <w:t xml:space="preserve"> </w:t>
      </w:r>
      <w:r>
        <w:t xml:space="preserve">“шире”</w:t>
      </w:r>
      <w:r>
        <w:t xml:space="preserve"> </w:t>
      </w:r>
      <w:r>
        <w:t xml:space="preserve">или</w:t>
      </w:r>
      <w:r>
        <w:t xml:space="preserve"> </w:t>
      </w:r>
      <w:r>
        <w:t xml:space="preserve">“уже”</w:t>
      </w:r>
      <w:r>
        <w:t xml:space="preserve"> </w:t>
      </w:r>
      <w:r>
        <w:t xml:space="preserve">в социальном смысле. Они по-разному распределяют внимание между историческими зонами и типами научного вопроса.</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Разрез</w:t>
            </w:r>
          </w:p>
        </w:tc>
        <w:tc>
          <w:tcPr/>
          <w:p>
            <w:pPr>
              <w:pStyle w:val="Compact"/>
            </w:pPr>
            <w:r>
              <w:t xml:space="preserve">Главный результат</w:t>
            </w:r>
          </w:p>
        </w:tc>
        <w:tc>
          <w:tcPr/>
          <w:p>
            <w:pPr>
              <w:pStyle w:val="Compact"/>
            </w:pPr>
            <w:r>
              <w:t xml:space="preserve">Интерпретация</w:t>
            </w:r>
          </w:p>
        </w:tc>
      </w:tr>
      <w:tr>
        <w:tc>
          <w:tcPr/>
          <w:p>
            <w:pPr>
              <w:pStyle w:val="Compact"/>
            </w:pPr>
            <w:r>
              <w:t xml:space="preserve">Пересечение участников</w:t>
            </w:r>
          </w:p>
        </w:tc>
        <w:tc>
          <w:tcPr/>
          <w:p>
            <w:pPr>
              <w:pStyle w:val="Compact"/>
            </w:pPr>
            <w:r>
              <w:t xml:space="preserve">41 общий ученый вместо ожидаемых 128.4</w:t>
            </w:r>
          </w:p>
        </w:tc>
        <w:tc>
          <w:tcPr/>
          <w:p>
            <w:pPr>
              <w:pStyle w:val="Compact"/>
            </w:pPr>
            <w:r>
              <w:t xml:space="preserve">две частично изолированные среды</w:t>
            </w:r>
          </w:p>
        </w:tc>
      </w:tr>
      <w:tr>
        <w:tc>
          <w:tcPr/>
          <w:p>
            <w:pPr>
              <w:pStyle w:val="Compact"/>
            </w:pPr>
            <w:r>
              <w:t xml:space="preserve">L1: дисциплина</w:t>
            </w:r>
          </w:p>
        </w:tc>
        <w:tc>
          <w:tcPr/>
          <w:p>
            <w:pPr>
              <w:pStyle w:val="Compact"/>
            </w:pPr>
            <w:r>
              <w:t xml:space="preserve">p &lt; 0.000000001</w:t>
            </w:r>
          </w:p>
        </w:tc>
        <w:tc>
          <w:tcPr/>
          <w:p>
            <w:pPr>
              <w:pStyle w:val="Compact"/>
            </w:pPr>
            <w:r>
              <w:t xml:space="preserve">разные дисциплинарные профили</w:t>
            </w:r>
          </w:p>
        </w:tc>
      </w:tr>
      <w:tr>
        <w:tc>
          <w:tcPr/>
          <w:p>
            <w:pPr>
              <w:pStyle w:val="Compact"/>
            </w:pPr>
            <w:r>
              <w:t xml:space="preserve">L2: период</w:t>
            </w:r>
          </w:p>
        </w:tc>
        <w:tc>
          <w:tcPr/>
          <w:p>
            <w:pPr>
              <w:pStyle w:val="Compact"/>
            </w:pPr>
            <w:r>
              <w:t xml:space="preserve">Рерих 75.0% классика+средневековье; Зограф 55.5%</w:t>
            </w:r>
          </w:p>
        </w:tc>
        <w:tc>
          <w:tcPr/>
          <w:p>
            <w:pPr>
              <w:pStyle w:val="Compact"/>
            </w:pPr>
            <w:r>
              <w:t xml:space="preserve">разная хронологическая оптика</w:t>
            </w:r>
          </w:p>
        </w:tc>
      </w:tr>
      <w:tr>
        <w:tc>
          <w:tcPr/>
          <w:p>
            <w:pPr>
              <w:pStyle w:val="Compact"/>
            </w:pPr>
            <w:r>
              <w:t xml:space="preserve">Аффилиации</w:t>
            </w:r>
          </w:p>
        </w:tc>
        <w:tc>
          <w:tcPr/>
          <w:p>
            <w:pPr>
              <w:pStyle w:val="Compact"/>
            </w:pPr>
            <w:r>
              <w:t xml:space="preserve">“только город”</w:t>
            </w:r>
            <w:r>
              <w:t xml:space="preserve"> </w:t>
            </w:r>
            <w:r>
              <w:t xml:space="preserve">71.0% на Зографе и 9.6% на Рерихе</w:t>
            </w:r>
          </w:p>
        </w:tc>
        <w:tc>
          <w:tcPr/>
          <w:p>
            <w:pPr>
              <w:pStyle w:val="Compact"/>
            </w:pPr>
            <w:r>
              <w:t xml:space="preserve">разный стандарт публикации программ</w:t>
            </w:r>
          </w:p>
        </w:tc>
      </w:tr>
      <w:tr>
        <w:tc>
          <w:tcPr/>
          <w:p>
            <w:pPr>
              <w:pStyle w:val="Compact"/>
            </w:pPr>
            <w:r>
              <w:t xml:space="preserve">Шкала G</w:t>
            </w:r>
          </w:p>
        </w:tc>
        <w:tc>
          <w:tcPr/>
          <w:p>
            <w:pPr>
              <w:pStyle w:val="Compact"/>
            </w:pPr>
            <w:r>
              <w:t xml:space="preserve">G1 = 1155 из 1350 докладов</w:t>
            </w:r>
          </w:p>
        </w:tc>
        <w:tc>
          <w:tcPr/>
          <w:p>
            <w:pPr>
              <w:pStyle w:val="Compact"/>
            </w:pPr>
            <w:r>
              <w:t xml:space="preserve">микрокейс как норма жанра</w:t>
            </w:r>
          </w:p>
        </w:tc>
      </w:tr>
    </w:tbl>
    <w:p>
      <w:pPr>
        <w:pStyle w:val="BodyText"/>
      </w:pPr>
      <w:r>
        <w:t xml:space="preserve">Отдельной оговорки требует поле аффилиации. В Зографских программах участник часто представлен городом, а не учреждением; в Рериховских программах чаще указывается институция. Среди 1377 авторских участий доля записей, где вместо учреждения указан только город, составляет 71.0% на Зографских чтениях и 9.6% на Рериховских. Различие сохраняется при стратификации по годам: отношение шансов 21.51, chi-square = 479.1, p &lt; 0.000000000001. Поэтому строку</w:t>
      </w:r>
      <w:r>
        <w:t xml:space="preserve"> </w:t>
      </w:r>
      <w:r>
        <w:t xml:space="preserve">“Москва”</w:t>
      </w:r>
      <w:r>
        <w:t xml:space="preserve">,</w:t>
      </w:r>
      <w:r>
        <w:t xml:space="preserve"> </w:t>
      </w:r>
      <w:r>
        <w:t xml:space="preserve">“Пенза”</w:t>
      </w:r>
      <w:r>
        <w:t xml:space="preserve"> </w:t>
      </w:r>
      <w:r>
        <w:t xml:space="preserve">или</w:t>
      </w:r>
      <w:r>
        <w:t xml:space="preserve"> </w:t>
      </w:r>
      <w:r>
        <w:t xml:space="preserve">“Калининград”</w:t>
      </w:r>
      <w:r>
        <w:t xml:space="preserve"> </w:t>
      </w:r>
      <w:r>
        <w:t xml:space="preserve">нельзя автоматически читать как отсутствие университетской или академической занятости. Это прежде всего свойство редакционного формата программы.</w:t>
      </w:r>
    </w:p>
    <w:p>
      <w:pPr>
        <w:pStyle w:val="BodyText"/>
      </w:pPr>
      <w:r>
        <w:t xml:space="preserve">Такой вывод важен для интерпретации периферии. Данные действительно показывают более низкую возвращаемость участников, обозначенных региональными городами: 31.3% против 62.6% у московских и 63.9% у петербургских меток. Но из городского ярлыка нельзя вывести тип места работы. Гипотеза о внеуниверситетском характере периферийного участия может быть поставлена, но для ее проверки нужен отдельный authority-слой с внешними биографическими и институциональными источниками. В этой статье она не используется как доказанный результат.</w:t>
      </w:r>
    </w:p>
    <w:p>
      <w:pPr>
        <w:pStyle w:val="BodyText"/>
      </w:pPr>
      <w:r>
        <w:t xml:space="preserve">Иными словами, географическая периферийность и институциональная периферийность должны быть разведены. Городская метка показывает, как участник представлен в программе, но не обязательно показывает его должность, место работы и карьерную траекторию. Периферийный город может обозначать университет, музей, школу, независимую исследовательскую позицию или просто удобный публичный идентификатор. Особенно поэтому нельзя автоматически приравнивать</w:t>
      </w:r>
      <w:r>
        <w:t xml:space="preserve"> </w:t>
      </w:r>
      <w:r>
        <w:t xml:space="preserve">“город вместо учреждения”</w:t>
      </w:r>
      <w:r>
        <w:t xml:space="preserve"> </w:t>
      </w:r>
      <w:r>
        <w:t xml:space="preserve">к прекарности или маргинальности. Для таких выводов нужна отдельная проверка по внешним справочникам и персональным страницам.</w:t>
      </w:r>
    </w:p>
    <w:p>
      <w:pPr>
        <w:pStyle w:val="BodyText"/>
      </w:pPr>
      <w:r>
        <w:t xml:space="preserve">Тем не менее сам факт различия публикационных стандартов значим. Рериховские чтения публично производят более институционализированное описание участника, тогда как Зографские чтения в большинстве случаев предъявляют участника через город и имя. Это два разных режима видимости. В первом случае читатель программы сразу видит организационную карту; во втором - скорее географию и персональный состав. Поэтому спор о том, являются ли чтения</w:t>
      </w:r>
      <w:r>
        <w:t xml:space="preserve"> </w:t>
      </w:r>
      <w:r>
        <w:t xml:space="preserve">“профильными”</w:t>
      </w:r>
      <w:r>
        <w:t xml:space="preserve"> </w:t>
      </w:r>
      <w:r>
        <w:t xml:space="preserve">или</w:t>
      </w:r>
      <w:r>
        <w:t xml:space="preserve"> </w:t>
      </w:r>
      <w:r>
        <w:t xml:space="preserve">“академическими”</w:t>
      </w:r>
      <w:r>
        <w:t xml:space="preserve">, нельзя решать только по зографской программе: источник часто просто не содержит тех сведений, которые нужны для такой проверки.</w:t>
      </w:r>
    </w:p>
    <w:bookmarkEnd w:id="14"/>
    <w:bookmarkStart w:id="15" w:name="микрокейс-как-норма"/>
    <w:p>
      <w:pPr>
        <w:pStyle w:val="Heading2"/>
      </w:pPr>
      <w:r>
        <w:t xml:space="preserve">5. Микрокейс как норма</w:t>
      </w:r>
    </w:p>
    <w:p>
      <w:pPr>
        <w:pStyle w:val="FirstParagraph"/>
      </w:pPr>
      <w:r>
        <w:t xml:space="preserve">Наиболее неожиданная жанровая находка связана со шкалой G1-G3. Из 1350 уникальных докладов 1155 относятся к G1, то есть к микрокейсовому уровню. G2 включает 185 докладов, G3 - только 10. Иными словами, публичная конференционная индология в расширенном корпусе чаще всего говорит через отдельный текст, автора, термин, памятник или локальный сюжет. Широкие цивилизационные и общеметодологические обобщения существуют, но остаются исключением.</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t xml:space="preserve">Уровень обобщения</w:t>
            </w:r>
          </w:p>
        </w:tc>
        <w:tc>
          <w:tcPr/>
          <w:p>
            <w:pPr>
              <w:pStyle w:val="Compact"/>
            </w:pPr>
            <w:r>
              <w:t xml:space="preserve">Содержание уровня</w:t>
            </w:r>
          </w:p>
        </w:tc>
        <w:tc>
          <w:tcPr/>
          <w:p>
            <w:pPr>
              <w:pStyle w:val="Compact"/>
              <w:jc w:val="right"/>
            </w:pPr>
            <w:r>
              <w:t xml:space="preserve">Докладов</w:t>
            </w:r>
          </w:p>
        </w:tc>
      </w:tr>
      <w:tr>
        <w:tc>
          <w:tcPr/>
          <w:p>
            <w:pPr>
              <w:pStyle w:val="Compact"/>
            </w:pPr>
            <w:r>
              <w:t xml:space="preserve">G1</w:t>
            </w:r>
          </w:p>
        </w:tc>
        <w:tc>
          <w:tcPr/>
          <w:p>
            <w:pPr>
              <w:pStyle w:val="Compact"/>
            </w:pPr>
            <w:r>
              <w:t xml:space="preserve">отдельный текст, автор, источник, термин, локальный сюжет</w:t>
            </w:r>
          </w:p>
        </w:tc>
        <w:tc>
          <w:tcPr/>
          <w:p>
            <w:pPr>
              <w:pStyle w:val="Compact"/>
              <w:jc w:val="right"/>
            </w:pPr>
            <w:r>
              <w:t xml:space="preserve">1155</w:t>
            </w:r>
          </w:p>
        </w:tc>
      </w:tr>
      <w:tr>
        <w:tc>
          <w:tcPr/>
          <w:p>
            <w:pPr>
              <w:pStyle w:val="Compact"/>
            </w:pPr>
            <w:r>
              <w:t xml:space="preserve">G2</w:t>
            </w:r>
          </w:p>
        </w:tc>
        <w:tc>
          <w:tcPr/>
          <w:p>
            <w:pPr>
              <w:pStyle w:val="Compact"/>
            </w:pPr>
            <w:r>
              <w:t xml:space="preserve">традиция, школа, крупный класс явлений, длительная линия</w:t>
            </w:r>
          </w:p>
        </w:tc>
        <w:tc>
          <w:tcPr/>
          <w:p>
            <w:pPr>
              <w:pStyle w:val="Compact"/>
              <w:jc w:val="right"/>
            </w:pPr>
            <w:r>
              <w:t xml:space="preserve">185</w:t>
            </w:r>
          </w:p>
        </w:tc>
      </w:tr>
      <w:tr>
        <w:tc>
          <w:tcPr/>
          <w:p>
            <w:pPr>
              <w:pStyle w:val="Compact"/>
            </w:pPr>
            <w:r>
              <w:t xml:space="preserve">G3</w:t>
            </w:r>
          </w:p>
        </w:tc>
        <w:tc>
          <w:tcPr/>
          <w:p>
            <w:pPr>
              <w:pStyle w:val="Compact"/>
            </w:pPr>
            <w:r>
              <w:t xml:space="preserve">межрегиональная, цивилизационная или методологическая рамка</w:t>
            </w:r>
          </w:p>
        </w:tc>
        <w:tc>
          <w:tcPr/>
          <w:p>
            <w:pPr>
              <w:pStyle w:val="Compact"/>
              <w:jc w:val="right"/>
            </w:pPr>
            <w:r>
              <w:t xml:space="preserve">10</w:t>
            </w:r>
          </w:p>
        </w:tc>
      </w:tr>
    </w:tbl>
    <w:p>
      <w:pPr>
        <w:pStyle w:val="BodyText"/>
      </w:pPr>
      <w:r>
        <w:t xml:space="preserve">Распределение по площадкам показывает, что микрокейсовость не является особенностью одной серии. На Зографских чтениях G1 составляет 754 из 878 докладов (85.9%), на Рериховских - 401 из 472 (85.0%). G2/G3 встречаются соответственно в 124 и 71 случае. Поэтому главный вывод состоит не в том, что одна площадка</w:t>
      </w:r>
      <w:r>
        <w:t xml:space="preserve"> </w:t>
      </w:r>
      <w:r>
        <w:t xml:space="preserve">“обобщает”</w:t>
      </w:r>
      <w:r>
        <w:t xml:space="preserve">, а другая</w:t>
      </w:r>
      <w:r>
        <w:t xml:space="preserve"> </w:t>
      </w:r>
      <w:r>
        <w:t xml:space="preserve">“не обобщает”</w:t>
      </w:r>
      <w:r>
        <w:t xml:space="preserve">. Обе площадки воспроизводят один базовый жанр: доклад о конкретном материале, частной проблеме или ограниченном корпусе источников.</w:t>
      </w:r>
    </w:p>
    <w:p>
      <w:pPr>
        <w:pStyle w:val="BodyText"/>
      </w:pPr>
      <w:r>
        <w:t xml:space="preserve">Этот результат не следует понимать оценочно. Микрокейс не является признаком слабости; для филологической, историко-религиоведческой и источниковедческой традиции он часто представляет собой нормальный способ надежной аргументации. Однако распределение G1-G3 показывает, что две площадки редко предъявляют большой синтез как самостоятельный публичный жанр. При этом прежняя гипотеза, будто перекрестные участники особенно избегают обобщений, на расширенном корпусе не подтверждается: доля G2/G3 в их авторских участиях составляет 12.5%, у одноплощадочных - 15.5%, и различие незначимо (точный критерий Фишера, p = 0.132).</w:t>
      </w:r>
    </w:p>
    <w:p>
      <w:pPr>
        <w:pStyle w:val="BodyText"/>
      </w:pPr>
      <w:r>
        <w:t xml:space="preserve">Формула</w:t>
      </w:r>
      <w:r>
        <w:t xml:space="preserve"> </w:t>
      </w:r>
      <w:r>
        <w:t xml:space="preserve">“микрокейс как норма”</w:t>
      </w:r>
      <w:r>
        <w:t xml:space="preserve"> </w:t>
      </w:r>
      <w:r>
        <w:t xml:space="preserve">позволяет иначе прочитать и само устройство конференционной коммуникации. В таком режиме докладчик получает право на участие прежде всего через демонстрацию владения конкретным материалом: текстом, рукописью, термином, эпизодом рецепции, отдельным автором или локальной традицией. Большая рамка не исчезает, но часто остается подразумеваемой. Она может появляться в обсуждении, в серии многолетних выступлений или в научной биографии автора, но в заголовке доклада и публичной программе чаще фиксируется именно точка приложения экспертизы.</w:t>
      </w:r>
    </w:p>
    <w:p>
      <w:pPr>
        <w:pStyle w:val="BodyText"/>
      </w:pPr>
      <w:r>
        <w:t xml:space="preserve">Это объясняет, почему микрокейсы не следует противопоставлять</w:t>
      </w:r>
      <w:r>
        <w:t xml:space="preserve"> </w:t>
      </w:r>
      <w:r>
        <w:t xml:space="preserve">“настоящей теории”</w:t>
      </w:r>
      <w:r>
        <w:t xml:space="preserve">. Для исследовательской культуры, основанной на языковой, текстологической и историко-религиоведческой компетенции, микрокейс может быть наиболее надежной формой проверки обобщения. Но количественное распределение показывает и оборотную сторону: публичная программа редко предъявляет синтетические вопросы как самостоятельный жанр. В этом смысле конференции оказываются не столько местом декларации больших моделей Индии, сколько местом накопления частных экспертиз, из которых такие модели потенциально могут быть собраны.</w:t>
      </w:r>
    </w:p>
    <w:p>
      <w:pPr>
        <w:pStyle w:val="BodyText"/>
      </w:pPr>
      <w:r>
        <w:t xml:space="preserve">Возрастной срез требует пересмотра первоначального предположения о</w:t>
      </w:r>
      <w:r>
        <w:t xml:space="preserve"> </w:t>
      </w:r>
      <w:r>
        <w:t xml:space="preserve">“статусном жанре”</w:t>
      </w:r>
      <w:r>
        <w:t xml:space="preserve">. Для авторских участий с известным годом рождения медианный возраст в G2/G3 и в G1 одинаков и составляет 46 лет; тест Манна-Уитни не выявляет надежного различия (p = 0.078). Среди десяти G3-докладов возраст автора известен для семи; их медиана составляет 55 лет, а возраст 60 лет и старше имеют три случая. Следовательно, гипотеза о том, что широкие обобщения допускаются преимущественно для старшего поколения, в расширенном корпусе не подтверждается. Ее можно сохранять как вопрос для более полного authority-слоя, но не как результат статьи.</w:t>
      </w:r>
    </w:p>
    <w:p>
      <w:pPr>
        <w:pStyle w:val="BodyText"/>
      </w:pPr>
      <w:r>
        <w:t xml:space="preserve">Десять G3-докладов тематически показательны: они касаются сопоставления индийской и западной эпистемологии, индийской и европейской философских традиций, южноазиатско-африканских связей, двух теорий социогенеза, многовековых</w:t>
      </w:r>
      <w:r>
        <w:t xml:space="preserve"> </w:t>
      </w:r>
      <w:r>
        <w:t xml:space="preserve">“мифов об Индии”</w:t>
      </w:r>
      <w:r>
        <w:t xml:space="preserve">, культурных заимствований между Индией, Центральной Азией и Понтом, а также методологии исследования индийской философии. Два доклада о</w:t>
      </w:r>
      <w:r>
        <w:t xml:space="preserve"> </w:t>
      </w:r>
      <w:r>
        <w:t xml:space="preserve">“южноазиатской схеме рациональности”</w:t>
      </w:r>
      <w:r>
        <w:t xml:space="preserve"> </w:t>
      </w:r>
      <w:r>
        <w:t xml:space="preserve">после редакционной проверки отнесены к G2: они обобщают одну традицию, но не заявляют межцивилизационной рамки.</w:t>
      </w:r>
    </w:p>
    <w:p>
      <w:pPr>
        <w:pStyle w:val="BodyText"/>
      </w:pPr>
      <w:r>
        <w:t xml:space="preserve">Проверка мезоуровней дополняет эту картину. Тема не равна масштабу: доклад о буддийском, ведийском, эпическом или гималайском материале может оставаться G1. Модельная разметка по контролируемому словарю выделила наиболее наполненные сквозные контуры: буддийские традиции (214 докладов), философию и эпистемологию (107), ведийские исследования (79), сравнительный анализ (71), тибетолого-гималайский контур и эпосы</w:t>
      </w:r>
      <w:r>
        <w:t xml:space="preserve"> </w:t>
      </w:r>
      <w:r>
        <w:t xml:space="preserve">“Рамаяна”</w:t>
      </w:r>
      <w:r>
        <w:t xml:space="preserve"> </w:t>
      </w:r>
      <w:r>
        <w:t xml:space="preserve">/</w:t>
      </w:r>
      <w:r>
        <w:t xml:space="preserve"> </w:t>
      </w:r>
      <w:r>
        <w:t xml:space="preserve">“Махабхарата”</w:t>
      </w:r>
      <w:r>
        <w:t xml:space="preserve"> </w:t>
      </w:r>
      <w:r>
        <w:t xml:space="preserve">(по 69). После проверки потребовалось добавить один новый устойчивый индекс -</w:t>
      </w:r>
      <w:r>
        <w:t xml:space="preserve"> </w:t>
      </w:r>
      <w:r>
        <w:t xml:space="preserve">“Сикхские исследования”</w:t>
      </w:r>
      <w:r>
        <w:t xml:space="preserve"> </w:t>
      </w:r>
      <w:r>
        <w:t xml:space="preserve">для двух докладов; остальные предложенные единичные рубрики не вводились как самостоятельные мезоуровни.</w:t>
      </w:r>
    </w:p>
    <w:p>
      <w:pPr>
        <w:pStyle w:val="BodyText"/>
      </w:pPr>
      <w:r>
        <w:t xml:space="preserve">Видеоархив не используется как репрезентативная выборка масштаба аргумента. В базе к 82 докладам привязаны сохранившиеся видеозаписи, но наличие видео зависит от года, технической возможности записи, последующей публикации и надежности сопоставления с программой. Этот слой ценен для проверки отдельных выступлений и открыт на сайте как каталог и как статус конкретного доклада, но не заменяет корпус программ.</w:t>
      </w:r>
    </w:p>
    <w:bookmarkEnd w:id="15"/>
    <w:bookmarkStart w:id="16" w:name="обсуждение"/>
    <w:p>
      <w:pPr>
        <w:pStyle w:val="Heading2"/>
      </w:pPr>
      <w:r>
        <w:t xml:space="preserve">6. Обсуждение</w:t>
      </w:r>
    </w:p>
    <w:p>
      <w:pPr>
        <w:pStyle w:val="FirstParagraph"/>
      </w:pPr>
      <w:r>
        <w:t xml:space="preserve">Полученные результаты позволяют перейти от отдельных чисел к более общей модели публичной конференционной индологии. Эта модель состоит из трех взаимосвязанных структур: социальной, тематической и жанровой. Социальная структура проявляется в слабом пересечении площадок: Зографские и Рериховские чтения имеют общий мостовой слой, но этот слой намного меньше случайного ожидания. Тематическая структура проявляется в разной хронологической и дисциплинарной оптике: Рериховские чтения сильнее удерживают классико-средневековую рамку, а Зографские чтения допускают более широкий хронологический и философско-филологический диапазон. Жанровая структура проявляется в доминировании микрокейса как нормальной формы доклада.</w:t>
      </w:r>
    </w:p>
    <w:p>
      <w:pPr>
        <w:pStyle w:val="BodyText"/>
      </w:pPr>
      <w:r>
        <w:t xml:space="preserve">Эти три структуры не совпадают полностью. Более компактная социальная среда не обязательно производит больше макрообобщений; более широкая площадка не обязательно становится более интегрированной; мостовые участники не обязательно выступают с самыми широкими темами. Напротив, один из неожиданных результатов состоит в том, что посредничество между площадками часто обеспечивается устойчивой частной специализацией. Исследователь переносит свой материал между двумя средами, и именно эта переносимость частного сюжета поддерживает связь поля.</w:t>
      </w:r>
    </w:p>
    <w:p>
      <w:pPr>
        <w:pStyle w:val="BodyText"/>
      </w:pPr>
      <w:r>
        <w:t xml:space="preserve">Отсюда следует осторожность по отношению к сильным социологическим метафорам. Выражения вроде</w:t>
      </w:r>
      <w:r>
        <w:t xml:space="preserve"> </w:t>
      </w:r>
      <w:r>
        <w:t xml:space="preserve">“закрытый клуб”</w:t>
      </w:r>
      <w:r>
        <w:t xml:space="preserve">,</w:t>
      </w:r>
      <w:r>
        <w:t xml:space="preserve"> </w:t>
      </w:r>
      <w:r>
        <w:t xml:space="preserve">“клановая структура”</w:t>
      </w:r>
      <w:r>
        <w:t xml:space="preserve"> </w:t>
      </w:r>
      <w:r>
        <w:t xml:space="preserve">или</w:t>
      </w:r>
      <w:r>
        <w:t xml:space="preserve"> </w:t>
      </w:r>
      <w:r>
        <w:t xml:space="preserve">“центр и периферия”</w:t>
      </w:r>
      <w:r>
        <w:t xml:space="preserve"> </w:t>
      </w:r>
      <w:r>
        <w:t xml:space="preserve">могут быть эвристически полезны, но программа конференции не дает достаточного основания для прямого вывода о скрытых механизмах отбора. Она показывает не внутреннюю кухню организационных решений, а публичный итог. Поэтому надежнее говорить о наблюдаемой компактности, возвращаемости, тематической концентрации и слабой межплощадочной проницаемости. Эти признаки уже достаточно сильны, чтобы описать структуру поля, но не требуют приписывать организаторам или участникам недоказанные намерения.</w:t>
      </w:r>
    </w:p>
    <w:p>
      <w:pPr>
        <w:pStyle w:val="BodyText"/>
      </w:pPr>
      <w:r>
        <w:t xml:space="preserve">Особенно показательна здесь проблема аффилиаций. Если читать программу буквально, Зографские чтения могут показаться площадкой с массовым отсутствием институциональных принадлежностей. Но сопоставление с Рериховскими чтениями показывает, что это прежде всего разный стандарт публикации: один источник показывает город, другой чаще показывает учреждение. Поэтому статья сознательно отделяет публичную видимость от биографической реальности. Для истории науки это не недостаток, а самостоятельный результат: разные конференционные культуры по-разному оформляют участника как академическую фигуру.</w:t>
      </w:r>
    </w:p>
    <w:p>
      <w:pPr>
        <w:pStyle w:val="BodyText"/>
      </w:pPr>
      <w:r>
        <w:t xml:space="preserve">Данные также позволяют иначе взглянуть на периферию. Региональные участники действительно возвращаются реже, чем столичные, но это не тождественно их профессиональной слабости или внеуниверситетскому статусу. Возможны разные объяснения: дорожные расходы, календарная нагрузка, локальная занятость, отсутствие устойчивых каналов приглашения, меньшая включенность в столичные сети. Пензенский, казанский, калининградский или екатеринбургский маркер в программе должен рассматриваться как начало вопроса, а не как готовый ответ. Проверка реальной занятости периферийных участников требует другого набора данных.</w:t>
      </w:r>
    </w:p>
    <w:p>
      <w:pPr>
        <w:pStyle w:val="BodyText"/>
      </w:pPr>
      <w:r>
        <w:t xml:space="preserve">Наконец, шкала G1-G3 показывает, что история дисциплины может изучаться не только через темы, но и через масштаб высказывания. Два доклада могут относиться к одной дисциплине, например к религиоведению, но один будет разбором конкретного текста, другой - рассуждением о цивилизационной модели. Обычная тематическая рубрика этого различия не видит. Поэтому шкала обобщения выступает дополнительным инструментом: она показывает, как именно сообщество предпочитает формулировать научное высказывание в публичной программе.</w:t>
      </w:r>
    </w:p>
    <w:bookmarkEnd w:id="16"/>
    <w:bookmarkStart w:id="17" w:name="выводы"/>
    <w:p>
      <w:pPr>
        <w:pStyle w:val="Heading2"/>
      </w:pPr>
      <w:r>
        <w:t xml:space="preserve">7. Выводы</w:t>
      </w:r>
    </w:p>
    <w:p>
      <w:pPr>
        <w:pStyle w:val="FirstParagraph"/>
      </w:pPr>
      <w:r>
        <w:t xml:space="preserve">Анализ двух чтений показывает, что публично наблюдаемая конференционная индология России организована не как единое непрерывное поле, а как две частично изолированные среды, связанные небольшим мостовым слоем. Это самый сильный количественный результат статьи: наблюдаемое пересечение в 41 ученого резко ниже нулевого ожидания 128.4 при той же индивидуальной активности.</w:t>
      </w:r>
    </w:p>
    <w:p>
      <w:pPr>
        <w:pStyle w:val="BodyText"/>
      </w:pPr>
      <w:r>
        <w:t xml:space="preserve">Второй результат состоит в устойчивой тематической асимметрии. Рериховские чтения компактнее и сильнее ориентированы на классико-средневековый</w:t>
      </w:r>
      <w:r>
        <w:t xml:space="preserve"> </w:t>
      </w:r>
      <w:r>
        <w:t xml:space="preserve">“золотой век”</w:t>
      </w:r>
      <w:r>
        <w:t xml:space="preserve">; Зографские чтения шире по составу участников и хронологическому диапазону. Но различия в метриках</w:t>
      </w:r>
      <w:r>
        <w:t xml:space="preserve"> </w:t>
      </w:r>
      <w:r>
        <w:t xml:space="preserve">“закрытости”</w:t>
      </w:r>
      <w:r>
        <w:t xml:space="preserve"> </w:t>
      </w:r>
      <w:r>
        <w:t xml:space="preserve">следует описывать осторожно: они видны как тенденция, но не доказывают скрытый фильтр отбора.</w:t>
      </w:r>
    </w:p>
    <w:p>
      <w:pPr>
        <w:pStyle w:val="BodyText"/>
      </w:pPr>
      <w:r>
        <w:t xml:space="preserve">Третий результат - источниковедческий. Аффилиации в программах нельзя читать буквально: Зографские чтения значительно чаще публикуют город вместо учреждения, тогда как Рериховские чаще показывают институциональную принадлежность. Поэтому данные о городах пригодны для анализа публичной репрезентации, но не для прямого вывода о месте работы участника.</w:t>
      </w:r>
    </w:p>
    <w:p>
      <w:pPr>
        <w:pStyle w:val="BodyText"/>
      </w:pPr>
      <w:r>
        <w:t xml:space="preserve">Четвертый результат - жанровый. Шкала G1-G3 показывает, что микрокейс является нормой поля: 1155 из 1350 докладов построены на локальном объекте, а глобальные обобщения представлены десятью заголовками. Это не недостаток, а характеристика дисциплинарного режима: российская конференционная индология публично воспроизводит себя прежде всего через точечную работу с текстами, авторами и источниками. При этом гипотеза о преимущественно старшем возрасте авторов широких обобщений на расширенном корпусе не подтверждена.</w:t>
      </w:r>
    </w:p>
    <w:p>
      <w:pPr>
        <w:pStyle w:val="BodyText"/>
      </w:pPr>
      <w:r>
        <w:t xml:space="preserve">Таким образом, наиболее важная картина, которую дает корпус, не сводится к вопросу, какая площадка</w:t>
      </w:r>
      <w:r>
        <w:t xml:space="preserve"> </w:t>
      </w:r>
      <w:r>
        <w:t xml:space="preserve">“закрытее”</w:t>
      </w:r>
      <w:r>
        <w:t xml:space="preserve">. Более продуктивно говорить о сочетании трех структур: слабого межплощадочного пересечения, разной тематической оптики и микрокейсового жанра доклада. Именно это сочетание делает Зографские и Рериховские чтения двумя разными, но взаимно необходимыми архивами публичной истории российской индологии.</w:t>
      </w:r>
    </w:p>
    <w:p>
      <w:pPr>
        <w:pStyle w:val="BodyText"/>
      </w:pPr>
      <w:r>
        <w:t xml:space="preserve">В дальнейшем эту картину можно уточнять в трех направлениях. Во-первых, через authority-слой, связывающий городские метки программ с реальными биографическими и институциональными траекториями участников. Во-вторых, через публикационную конверсию: какие доклады стали статьями, сборниками или устойчивыми исследовательскими темами. В-третьих, через анализ видеоархива и цифровой доступности, где вопрос будет уже не только в том, кто выступал, но и чьи выступления стали публично проверяемыми после конференции. Однако эти задачи требуют других данных; в рамках настоящей статьи главным остается корпус программ и то, что он позволяет увидеть без выхода за пределы источника.</w:t>
      </w:r>
    </w:p>
    <w:bookmarkEnd w:id="17"/>
    <w:bookmarkStart w:id="18" w:name="сокращения"/>
    <w:p>
      <w:pPr>
        <w:pStyle w:val="Heading2"/>
      </w:pPr>
      <w:r>
        <w:t xml:space="preserve">Сокращения</w:t>
      </w:r>
    </w:p>
    <w:p>
      <w:pPr>
        <w:pStyle w:val="FirstParagraph"/>
      </w:pPr>
      <w:r>
        <w:t xml:space="preserve">G1-G3 - шкала масштаба обобщения доклада; L1-L2 - тематические оси классификации докладов; ИВ РАН - Институт востоковедения Российской академии наук; ИВР РАН - Институт восточных рукописей Российской академии наук.</w:t>
      </w:r>
    </w:p>
    <w:bookmarkEnd w:id="18"/>
    <w:bookmarkStart w:id="19" w:name="литература"/>
    <w:p>
      <w:pPr>
        <w:pStyle w:val="Heading2"/>
      </w:pPr>
      <w:r>
        <w:t xml:space="preserve">Литература</w:t>
      </w:r>
    </w:p>
    <w:p>
      <w:pPr>
        <w:pStyle w:val="FirstParagraph"/>
      </w:pPr>
      <w:r>
        <w:t xml:space="preserve">Efron 1979 –</w:t>
      </w:r>
      <w:r>
        <w:t xml:space="preserve"> </w:t>
      </w:r>
      <w:r>
        <w:rPr>
          <w:i/>
          <w:iCs/>
        </w:rPr>
        <w:t xml:space="preserve">Efron, Bradley.</w:t>
      </w:r>
      <w:r>
        <w:t xml:space="preserve"> </w:t>
      </w:r>
      <w:r>
        <w:t xml:space="preserve">Bootstrap Methods: Another Look at the Jackknife // Annals of Statistics. 1979. Vol. 7, no. 1. P. 1-26.</w:t>
      </w:r>
    </w:p>
    <w:p>
      <w:pPr>
        <w:pStyle w:val="BodyText"/>
      </w:pPr>
      <w:r>
        <w:t xml:space="preserve">Fisher 1925 –</w:t>
      </w:r>
      <w:r>
        <w:t xml:space="preserve"> </w:t>
      </w:r>
      <w:r>
        <w:rPr>
          <w:i/>
          <w:iCs/>
        </w:rPr>
        <w:t xml:space="preserve">Fisher, Ronald Aylmer.</w:t>
      </w:r>
      <w:r>
        <w:t xml:space="preserve"> </w:t>
      </w:r>
      <w:r>
        <w:t xml:space="preserve">Statistical Methods for Research Workers. Edinburgh: Oliver and Boyd, 1925.</w:t>
      </w:r>
    </w:p>
    <w:p>
      <w:pPr>
        <w:pStyle w:val="BodyText"/>
      </w:pPr>
      <w:r>
        <w:t xml:space="preserve">Gini 1912 –</w:t>
      </w:r>
      <w:r>
        <w:t xml:space="preserve"> </w:t>
      </w:r>
      <w:r>
        <w:rPr>
          <w:i/>
          <w:iCs/>
        </w:rPr>
        <w:t xml:space="preserve">Gini, Corrado.</w:t>
      </w:r>
      <w:r>
        <w:t xml:space="preserve"> </w:t>
      </w:r>
      <w:r>
        <w:t xml:space="preserve">Variabilità e mutabilità: contributo allo studio delle distribuzioni e delle relazioni statistiche. Bologna: Tipografia di Paolo Cuppini, 1912.</w:t>
      </w:r>
    </w:p>
    <w:p>
      <w:pPr>
        <w:pStyle w:val="BodyText"/>
      </w:pPr>
      <w:r>
        <w:t xml:space="preserve">Schreibman et al. 2004 –</w:t>
      </w:r>
      <w:r>
        <w:t xml:space="preserve"> </w:t>
      </w:r>
      <w:r>
        <w:rPr>
          <w:i/>
          <w:iCs/>
        </w:rPr>
        <w:t xml:space="preserve">Schreibman, Susan; Siemens, Ray; Unsworth, John</w:t>
      </w:r>
      <w:r>
        <w:t xml:space="preserve"> </w:t>
      </w:r>
      <w:r>
        <w:t xml:space="preserve">(eds.). A Companion to Digital Humanities. Oxford: Blackwell Publishing, 2004.</w:t>
      </w:r>
    </w:p>
    <w:p>
      <w:pPr>
        <w:pStyle w:val="BodyText"/>
      </w:pPr>
      <w:r>
        <w:t xml:space="preserve">Stone 1971 –</w:t>
      </w:r>
      <w:r>
        <w:t xml:space="preserve"> </w:t>
      </w:r>
      <w:r>
        <w:rPr>
          <w:i/>
          <w:iCs/>
        </w:rPr>
        <w:t xml:space="preserve">Stone, Lawrence.</w:t>
      </w:r>
      <w:r>
        <w:t xml:space="preserve"> </w:t>
      </w:r>
      <w:r>
        <w:t xml:space="preserve">Prosopography // Daedalus. 1971. Vol. 100, no. 1. P. 46-79.</w:t>
      </w:r>
    </w:p>
    <w:bookmarkEnd w:id="19"/>
    <w:bookmarkStart w:id="20" w:name="references"/>
    <w:p>
      <w:pPr>
        <w:pStyle w:val="Heading2"/>
      </w:pPr>
      <w:r>
        <w:t xml:space="preserve">References</w:t>
      </w:r>
    </w:p>
    <w:p>
      <w:pPr>
        <w:pStyle w:val="FirstParagraph"/>
      </w:pPr>
      <w:r>
        <w:t xml:space="preserve">Efron, Bradley. Bootstrap Methods: Another Look at the Jackknife.</w:t>
      </w:r>
      <w:r>
        <w:t xml:space="preserve"> </w:t>
      </w:r>
      <w:r>
        <w:rPr>
          <w:i/>
          <w:iCs/>
        </w:rPr>
        <w:t xml:space="preserve">Annals of Statistics</w:t>
      </w:r>
      <w:r>
        <w:t xml:space="preserve">. 1979. Vol. 7, no. 1. P. 1-26.</w:t>
      </w:r>
    </w:p>
    <w:p>
      <w:pPr>
        <w:pStyle w:val="BodyText"/>
      </w:pPr>
      <w:r>
        <w:t xml:space="preserve">Fisher, Ronald Aylmer.</w:t>
      </w:r>
      <w:r>
        <w:t xml:space="preserve"> </w:t>
      </w:r>
      <w:r>
        <w:rPr>
          <w:i/>
          <w:iCs/>
        </w:rPr>
        <w:t xml:space="preserve">Statistical Methods for Research Workers</w:t>
      </w:r>
      <w:r>
        <w:t xml:space="preserve">. Edinburgh: Oliver and Boyd, 1925.</w:t>
      </w:r>
    </w:p>
    <w:p>
      <w:pPr>
        <w:pStyle w:val="BodyText"/>
      </w:pPr>
      <w:r>
        <w:t xml:space="preserve">Gini, Corrado.</w:t>
      </w:r>
      <w:r>
        <w:t xml:space="preserve"> </w:t>
      </w:r>
      <w:r>
        <w:rPr>
          <w:i/>
          <w:iCs/>
        </w:rPr>
        <w:t xml:space="preserve">Variabilità e mutabilità: contributo allo studio delle distribuzioni e delle relazioni statistiche</w:t>
      </w:r>
      <w:r>
        <w:t xml:space="preserve">. Bologna: Tipografia di Paolo Cuppini, 1912. (In Italian)</w:t>
      </w:r>
    </w:p>
    <w:p>
      <w:pPr>
        <w:pStyle w:val="BodyText"/>
      </w:pPr>
      <w:r>
        <w:t xml:space="preserve">Schreibman, Susan; Siemens, Ray; Unsworth, John (eds.).</w:t>
      </w:r>
      <w:r>
        <w:t xml:space="preserve"> </w:t>
      </w:r>
      <w:r>
        <w:rPr>
          <w:i/>
          <w:iCs/>
        </w:rPr>
        <w:t xml:space="preserve">A Companion to Digital Humanities</w:t>
      </w:r>
      <w:r>
        <w:t xml:space="preserve">. Oxford: Blackwell Publishing, 2004.</w:t>
      </w:r>
    </w:p>
    <w:p>
      <w:pPr>
        <w:pStyle w:val="BodyText"/>
      </w:pPr>
      <w:r>
        <w:t xml:space="preserve">Stone, Lawrence. Prosopography.</w:t>
      </w:r>
      <w:r>
        <w:t xml:space="preserve"> </w:t>
      </w:r>
      <w:r>
        <w:rPr>
          <w:i/>
          <w:iCs/>
        </w:rPr>
        <w:t xml:space="preserve">Daedalus</w:t>
      </w:r>
      <w:r>
        <w:t xml:space="preserve">. 1971. Vol. 100, no. 1. P. 46-79.</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2026-05-25T15:53:25Z</dcterms:created>
  <dcterms:modified xsi:type="dcterms:W3CDTF">2026-05-25T15:53:25Z</dcterms:modified>
</cp:coreProperties>
</file>

<file path=docProps/custom.xml><?xml version="1.0" encoding="utf-8"?>
<Properties xmlns="http://schemas.openxmlformats.org/officeDocument/2006/custom-properties" xmlns:vt="http://schemas.openxmlformats.org/officeDocument/2006/docPropsVTypes"/>
</file>