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a808d1e279263fc644c70e5d4718a6d22ecaeb5"/>
    <w:p>
      <w:pPr>
        <w:pStyle w:val="Heading1"/>
      </w:pPr>
      <w:r>
        <w:t xml:space="preserve">Что не вошло в подачную версию статьи для ППВ</w:t>
      </w:r>
    </w:p>
    <w:p>
      <w:pPr>
        <w:pStyle w:val="FirstParagraph"/>
      </w:pPr>
      <w:r>
        <w:t xml:space="preserve">Версия: 2026-05-25.</w:t>
      </w:r>
      <w:r>
        <w:br/>
      </w:r>
      <w:r>
        <w:t xml:space="preserve">Связанный файл:</w:t>
      </w:r>
      <w:r>
        <w:t xml:space="preserve"> </w:t>
      </w:r>
      <w:r>
        <w:rPr>
          <w:rStyle w:val="VerbatimChar"/>
        </w:rPr>
        <w:t xml:space="preserve">article/ppv_submission_article.md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Статус после пересчета, 25.05.2026.</w:t>
      </w:r>
      <w:r>
        <w:t xml:space="preserve"> </w:t>
      </w:r>
      <w:r>
        <w:t xml:space="preserve">Подачная статья и микросайт</w:t>
      </w:r>
      <w:r>
        <w:t xml:space="preserve"> </w:t>
      </w:r>
      <w:r>
        <w:t xml:space="preserve">синхронизированы с расширенным корпусом: 286 участников, 1350 уникальных</w:t>
      </w:r>
      <w:r>
        <w:t xml:space="preserve"> </w:t>
      </w:r>
      <w:r>
        <w:t xml:space="preserve">докладов и 1377 авторских участий. Тематическая разметка и шкала G1-G3</w:t>
      </w:r>
      <w:r>
        <w:t xml:space="preserve"> </w:t>
      </w:r>
      <w:r>
        <w:t xml:space="preserve">повторно рассчитаны с DeepSeek, а все предварительные G2/G3 прошли отдельный</w:t>
      </w:r>
      <w:r>
        <w:t xml:space="preserve"> </w:t>
      </w:r>
      <w:r>
        <w:t xml:space="preserve">строгий аудит; два спорных G3 после него редакционно понижены до G2.</w:t>
      </w:r>
    </w:p>
    <w:p>
      <w:pPr>
        <w:pStyle w:val="FirstParagraph"/>
      </w:pPr>
      <w:r>
        <w:t xml:space="preserve">Новая подачная версия написана как самостоятельная статья под лимит ППВ: до 40 000 знаков для исследовательской статьи, с короткими аннотациями, ограниченным списком литературы и без приложений в теле рукописи. Старый</w:t>
      </w:r>
      <w:r>
        <w:t xml:space="preserve"> </w:t>
      </w:r>
      <w:r>
        <w:rPr>
          <w:rStyle w:val="VerbatimChar"/>
        </w:rPr>
        <w:t xml:space="preserve">ppv_draft.md</w:t>
      </w:r>
      <w:r>
        <w:t xml:space="preserve"> </w:t>
      </w:r>
      <w:r>
        <w:t xml:space="preserve">сохранен как расширенный рабочий драфт и архив всех проверок.</w:t>
      </w:r>
    </w:p>
    <w:bookmarkStart w:id="9" w:name="что-осталось-в-итоговой-статье"/>
    <w:p>
      <w:pPr>
        <w:pStyle w:val="Heading2"/>
      </w:pPr>
      <w:r>
        <w:t xml:space="preserve">1. Что осталось в итоговой статье</w:t>
      </w:r>
    </w:p>
    <w:p>
      <w:pPr>
        <w:pStyle w:val="FirstParagraph"/>
      </w:pPr>
      <w:r>
        <w:t xml:space="preserve">Оставлены только самые сильные или неожиданные результаты: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Слабое межплощадочное пересечение.</w:t>
      </w:r>
      <w:r>
        <w:t xml:space="preserve"> </w:t>
      </w:r>
      <w:r>
        <w:t xml:space="preserve">На обеих площадках выступал 41 ученый, тогда как нулевая модель ожидает 128.4. Это главный количественный результат.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Две разные конференционные среды.</w:t>
      </w:r>
      <w:r>
        <w:t xml:space="preserve"> </w:t>
      </w:r>
      <w:r>
        <w:t xml:space="preserve">Рериховские чтения компактнее, Зографские шире по числу участников и входов.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Устойчивая тематическая асимметрия.</w:t>
      </w:r>
      <w:r>
        <w:t xml:space="preserve"> </w:t>
      </w:r>
      <w:r>
        <w:t xml:space="preserve">L1 и L2 значимо различаются; Рерих сильнее концентрируется на классико-средневековом корпусе, Зограф шире по хронологии.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Город вместо учреждения как формат источника.</w:t>
      </w:r>
      <w:r>
        <w:t xml:space="preserve"> </w:t>
      </w:r>
      <w:r>
        <w:t xml:space="preserve">71.0% city-only записей у Зографа против 9.6% у Рериха; это нельзя читать как биографическую внеинституциональность.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Микрокейс как норма.</w:t>
      </w:r>
      <w:r>
        <w:t xml:space="preserve"> </w:t>
      </w:r>
      <w:r>
        <w:t xml:space="preserve">G1 = 1155 из 1350 докладов; G2 = 185; G3 = 10.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Поколенческая гипотеза проверена отрицательно.</w:t>
      </w:r>
      <w:r>
        <w:t xml:space="preserve"> </w:t>
      </w:r>
      <w:r>
        <w:t xml:space="preserve">Для G2/G3 и G1 медианный возраст авторского участия одинаков (46 лет); сильная версия гипотезы о старшем голосе не вошла как подтвержденный результат.</w:t>
      </w:r>
    </w:p>
    <w:bookmarkEnd w:id="9"/>
    <w:bookmarkStart w:id="12" w:name="что-не-вошло-из-за-объема"/>
    <w:p>
      <w:pPr>
        <w:pStyle w:val="Heading2"/>
      </w:pPr>
      <w:r>
        <w:t xml:space="preserve">2. Что не вошло из-за объема</w:t>
      </w:r>
    </w:p>
    <w:bookmarkStart w:id="10" w:name="полные-приложения"/>
    <w:p>
      <w:pPr>
        <w:pStyle w:val="Heading3"/>
      </w:pPr>
      <w:r>
        <w:t xml:space="preserve">Полные приложения</w:t>
      </w:r>
    </w:p>
    <w:p>
      <w:pPr>
        <w:pStyle w:val="FirstParagraph"/>
      </w:pPr>
      <w:r>
        <w:t xml:space="preserve">Не включены:</w:t>
      </w:r>
    </w:p>
    <w:p>
      <w:pPr>
        <w:pStyle w:val="Compact"/>
        <w:numPr>
          <w:ilvl w:val="0"/>
          <w:numId w:val="1002"/>
        </w:numPr>
      </w:pPr>
      <w:r>
        <w:t xml:space="preserve">Приложение А с полным списком 41 участника перекрестной когорты.</w:t>
      </w:r>
    </w:p>
    <w:p>
      <w:pPr>
        <w:pStyle w:val="Compact"/>
        <w:numPr>
          <w:ilvl w:val="0"/>
          <w:numId w:val="1002"/>
        </w:numPr>
      </w:pPr>
      <w:r>
        <w:t xml:space="preserve">Приложение Б с погодовой статистикой.</w:t>
      </w:r>
    </w:p>
    <w:p>
      <w:pPr>
        <w:pStyle w:val="Compact"/>
        <w:numPr>
          <w:ilvl w:val="0"/>
          <w:numId w:val="1002"/>
        </w:numPr>
      </w:pPr>
      <w:r>
        <w:t xml:space="preserve">Приложение В с распределениями L1/L2/L4 и выборкой 30 докладов.</w:t>
      </w:r>
    </w:p>
    <w:p>
      <w:pPr>
        <w:pStyle w:val="Compact"/>
        <w:numPr>
          <w:ilvl w:val="0"/>
          <w:numId w:val="1002"/>
        </w:numPr>
      </w:pPr>
      <w:r>
        <w:t xml:space="preserve">Приложение Г со всеми статистическими проверками и таблицами доверительных интервалов.</w:t>
      </w:r>
    </w:p>
    <w:p>
      <w:pPr>
        <w:pStyle w:val="FirstParagraph"/>
      </w:pPr>
      <w:r>
        <w:t xml:space="preserve">Причина: приложения превращают статью в корпусную публикацию и сразу выводят ее за лимит 40 000 знаков. Их лучше оформить как онлайн-суплемент на GitHub Pages или Zenodo/OSF с DOI.</w:t>
      </w:r>
    </w:p>
    <w:bookmarkEnd w:id="10"/>
    <w:bookmarkStart w:id="11" w:name="полная-нумерация-гипотез-н1-н35"/>
    <w:p>
      <w:pPr>
        <w:pStyle w:val="Heading3"/>
      </w:pPr>
      <w:r>
        <w:t xml:space="preserve">Полная нумерация гипотез Н1-Н35</w:t>
      </w:r>
    </w:p>
    <w:p>
      <w:pPr>
        <w:pStyle w:val="FirstParagraph"/>
      </w:pPr>
      <w:r>
        <w:t xml:space="preserve">Не включен полный каталог Н1-Н35. В статье сохранены только те гипотезы, которые работают на центральный аргумент. Остальные лучше оставить в рабочем отчете или сделать отдельной методической публикацией.</w:t>
      </w:r>
    </w:p>
    <w:p>
      <w:pPr>
        <w:pStyle w:val="BodyText"/>
      </w:pPr>
      <w:r>
        <w:t xml:space="preserve">Особенно сокращены:</w:t>
      </w:r>
    </w:p>
    <w:p>
      <w:pPr>
        <w:pStyle w:val="Compact"/>
        <w:numPr>
          <w:ilvl w:val="0"/>
          <w:numId w:val="1003"/>
        </w:numPr>
      </w:pPr>
      <w:r>
        <w:t xml:space="preserve">Н16 о 2020 г. как онлайн-эпизоде.</w:t>
      </w:r>
    </w:p>
    <w:p>
      <w:pPr>
        <w:pStyle w:val="Compact"/>
        <w:numPr>
          <w:ilvl w:val="0"/>
          <w:numId w:val="1003"/>
        </w:numPr>
      </w:pPr>
      <w:r>
        <w:t xml:space="preserve">Н17 о тематической специализации и удержании.</w:t>
      </w:r>
    </w:p>
    <w:p>
      <w:pPr>
        <w:pStyle w:val="Compact"/>
        <w:numPr>
          <w:ilvl w:val="0"/>
          <w:numId w:val="1003"/>
        </w:numPr>
      </w:pPr>
      <w:r>
        <w:t xml:space="preserve">Н18 о тематическом переносе перекрестных участников.</w:t>
      </w:r>
    </w:p>
    <w:p>
      <w:pPr>
        <w:pStyle w:val="Compact"/>
        <w:numPr>
          <w:ilvl w:val="0"/>
          <w:numId w:val="1003"/>
        </w:numPr>
      </w:pPr>
      <w:r>
        <w:t xml:space="preserve">Н20-Н25 о жанре заголовка, видеоархиве и статусе участника.</w:t>
      </w:r>
    </w:p>
    <w:p>
      <w:pPr>
        <w:pStyle w:val="Compact"/>
        <w:numPr>
          <w:ilvl w:val="0"/>
          <w:numId w:val="1003"/>
        </w:numPr>
      </w:pPr>
      <w:r>
        <w:t xml:space="preserve">Н27-Н34 как детальные разрезы гумилевской шкалы.</w:t>
      </w:r>
    </w:p>
    <w:bookmarkEnd w:id="11"/>
    <w:bookmarkEnd w:id="12"/>
    <w:bookmarkStart w:id="17" w:name="Xa45f2159edd3a0399f735bc871e3dee4501b530"/>
    <w:p>
      <w:pPr>
        <w:pStyle w:val="Heading2"/>
      </w:pPr>
      <w:r>
        <w:t xml:space="preserve">3. Что не вошло из-за слабости или предварительности результата</w:t>
      </w:r>
    </w:p>
    <w:bookmarkStart w:id="13" w:name="смена-оргкомитета-зографских-чтений"/>
    <w:p>
      <w:pPr>
        <w:pStyle w:val="Heading3"/>
      </w:pPr>
      <w:r>
        <w:t xml:space="preserve">Смена оргкомитета Зографских чтений</w:t>
      </w:r>
    </w:p>
    <w:p>
      <w:pPr>
        <w:pStyle w:val="FirstParagraph"/>
      </w:pPr>
      <w:r>
        <w:t xml:space="preserve">В старом драфте есть сюжет о периоде 2025-2026 гг.: по текущему пересчету дисциплинарная структура L1, приток новичков и распределение L2 не меняются значимо. Описательное снижение доли классического периода видно, но пока не проходит как доказанный сдвиг. В подачную статью это не включено.</w:t>
      </w:r>
    </w:p>
    <w:p>
      <w:pPr>
        <w:pStyle w:val="BodyText"/>
      </w:pPr>
      <w:r>
        <w:t xml:space="preserve">Причина: период слишком короткий, 2026 г. предварителен, а результат легко выглядит как ситуативная полемика. Это лучше оставить для последующего наблюдения после полной фиксации нескольких следующих программ.</w:t>
      </w:r>
    </w:p>
    <w:bookmarkEnd w:id="13"/>
    <w:bookmarkStart w:id="14" w:name="онлайн-формат-2020-г."/>
    <w:p>
      <w:pPr>
        <w:pStyle w:val="Heading3"/>
      </w:pPr>
      <w:r>
        <w:t xml:space="preserve">Онлайн-формат 2020 г.</w:t>
      </w:r>
    </w:p>
    <w:p>
      <w:pPr>
        <w:pStyle w:val="FirstParagraph"/>
      </w:pPr>
      <w:r>
        <w:t xml:space="preserve">Проверка показала, что дебютанты 2020 г. не возвращались устойчивее соседних когорт. Это полезная отрицательная проверка, но она не является центральной для компактной статьи.</w:t>
      </w:r>
    </w:p>
    <w:p>
      <w:pPr>
        <w:pStyle w:val="BodyText"/>
      </w:pPr>
      <w:r>
        <w:t xml:space="preserve">Статус: можно упомянуть в будущей статье о пандемийном влиянии на конференционную жизнь.</w:t>
      </w:r>
    </w:p>
    <w:bookmarkEnd w:id="14"/>
    <w:bookmarkStart w:id="15" w:name="сериализация-докладов-salami-slicing"/>
    <w:p>
      <w:pPr>
        <w:pStyle w:val="Heading3"/>
      </w:pPr>
      <w:r>
        <w:t xml:space="preserve">Сериализация докладов / salami slicing</w:t>
      </w:r>
    </w:p>
    <w:p>
      <w:pPr>
        <w:pStyle w:val="FirstParagraph"/>
      </w:pPr>
      <w:r>
        <w:t xml:space="preserve">Результат важен как отрицательная проверка сильной версии гипотезы: сериализация редка, а относительная доля у периферии выше, чем у ядра. Поэтому ее нельзя интерпретировать как стратегию удержания позиций устойчивым ядром. Но в сжатой версии этот сюжет отвлекает от главного аргумента.</w:t>
      </w:r>
    </w:p>
    <w:p>
      <w:pPr>
        <w:pStyle w:val="BodyText"/>
      </w:pPr>
      <w:r>
        <w:t xml:space="preserve">Статус: оставить в рабочем драфте и в онлайн-суплементе.</w:t>
      </w:r>
    </w:p>
    <w:bookmarkEnd w:id="15"/>
    <w:bookmarkStart w:id="16" w:name="фракционный-институциональный-счет"/>
    <w:p>
      <w:pPr>
        <w:pStyle w:val="Heading3"/>
      </w:pPr>
      <w:r>
        <w:t xml:space="preserve">Фракционный институциональный счет</w:t>
      </w:r>
    </w:p>
    <w:p>
      <w:pPr>
        <w:pStyle w:val="FirstParagraph"/>
      </w:pPr>
      <w:r>
        <w:t xml:space="preserve">Фракционный и простой счет почти не различаются из-за крайне низкой доли соавторства и мультиаффилиаций.</w:t>
      </w:r>
    </w:p>
    <w:p>
      <w:pPr>
        <w:pStyle w:val="BodyText"/>
      </w:pPr>
      <w:r>
        <w:t xml:space="preserve">Статус: методическая деталь, не нужна в короткой статье.</w:t>
      </w:r>
    </w:p>
    <w:bookmarkEnd w:id="16"/>
    <w:bookmarkEnd w:id="17"/>
    <w:bookmarkStart w:id="21" w:name="X7e0de5b8ecf18e961202feeb04ee69acf6379ed"/>
    <w:p>
      <w:pPr>
        <w:pStyle w:val="Heading2"/>
      </w:pPr>
      <w:r>
        <w:t xml:space="preserve">4. Что не вошло из-за необходимости внешнего слоя данных</w:t>
      </w:r>
    </w:p>
    <w:bookmarkStart w:id="18" w:name="Xb65966b7ff6a196b5ac497fe533109daf99d762"/>
    <w:p>
      <w:pPr>
        <w:pStyle w:val="Heading3"/>
      </w:pPr>
      <w:r>
        <w:t xml:space="preserve">Периферийные участники и неуниверситетская занятость</w:t>
      </w:r>
    </w:p>
    <w:p>
      <w:pPr>
        <w:pStyle w:val="FirstParagraph"/>
      </w:pPr>
      <w:r>
        <w:t xml:space="preserve">В пользовательской формулировке важна гипотеза: периферийные участники чаще не работают в вузах, за исключением Пензы. Текущая база не может это доказать, потому что строки программ часто дают только город.</w:t>
      </w:r>
    </w:p>
    <w:p>
      <w:pPr>
        <w:pStyle w:val="BodyText"/>
      </w:pPr>
      <w:r>
        <w:t xml:space="preserve">Что нужно для проверки:</w:t>
      </w:r>
    </w:p>
    <w:p>
      <w:pPr>
        <w:pStyle w:val="Compact"/>
        <w:numPr>
          <w:ilvl w:val="0"/>
          <w:numId w:val="1004"/>
        </w:numPr>
      </w:pPr>
      <w:r>
        <w:t xml:space="preserve">authority-таблица по участникам;</w:t>
      </w:r>
    </w:p>
    <w:p>
      <w:pPr>
        <w:pStyle w:val="Compact"/>
        <w:numPr>
          <w:ilvl w:val="0"/>
          <w:numId w:val="1004"/>
        </w:numPr>
      </w:pPr>
      <w:r>
        <w:t xml:space="preserve">тип занятости: университет, академический институт, музей, школа, независимый исследователь, city-only/unknown;</w:t>
      </w:r>
    </w:p>
    <w:p>
      <w:pPr>
        <w:pStyle w:val="Compact"/>
        <w:numPr>
          <w:ilvl w:val="0"/>
          <w:numId w:val="1004"/>
        </w:numPr>
      </w:pPr>
      <w:r>
        <w:t xml:space="preserve">источник верификации;</w:t>
      </w:r>
    </w:p>
    <w:p>
      <w:pPr>
        <w:pStyle w:val="Compact"/>
        <w:numPr>
          <w:ilvl w:val="0"/>
          <w:numId w:val="1004"/>
        </w:numPr>
      </w:pPr>
      <w:r>
        <w:t xml:space="preserve">год или интервал действия аффилиации;</w:t>
      </w:r>
    </w:p>
    <w:p>
      <w:pPr>
        <w:pStyle w:val="Compact"/>
        <w:numPr>
          <w:ilvl w:val="0"/>
          <w:numId w:val="1004"/>
        </w:numPr>
      </w:pPr>
      <w:r>
        <w:t xml:space="preserve">уровень уверенности.</w:t>
      </w:r>
    </w:p>
    <w:p>
      <w:pPr>
        <w:pStyle w:val="FirstParagraph"/>
      </w:pPr>
      <w:r>
        <w:t xml:space="preserve">Статус: отдельный будущий слой данных. В подачной статье оставлена только методическая оговорка: city-only не равно реальное отсутствие учреждения.</w:t>
      </w:r>
    </w:p>
    <w:bookmarkEnd w:id="18"/>
    <w:bookmarkStart w:id="19" w:name="гендерные-различия"/>
    <w:p>
      <w:pPr>
        <w:pStyle w:val="Heading3"/>
      </w:pPr>
      <w:r>
        <w:t xml:space="preserve">Гендерные различия</w:t>
      </w:r>
    </w:p>
    <w:p>
      <w:pPr>
        <w:pStyle w:val="FirstParagraph"/>
      </w:pPr>
      <w:r>
        <w:t xml:space="preserve">Гипотеза о различиях по полу/гендеру не включена.</w:t>
      </w:r>
    </w:p>
    <w:p>
      <w:pPr>
        <w:pStyle w:val="BodyText"/>
      </w:pPr>
      <w:r>
        <w:t xml:space="preserve">Причина: в базе нет надежного верифицированного поля, а автоматическое присвоение по имени методически и этически рискованно.</w:t>
      </w:r>
    </w:p>
    <w:bookmarkEnd w:id="19"/>
    <w:bookmarkStart w:id="20" w:name="публикационная-конверсия-докладов"/>
    <w:p>
      <w:pPr>
        <w:pStyle w:val="Heading3"/>
      </w:pPr>
      <w:r>
        <w:t xml:space="preserve">Публикационная конверсия докладов</w:t>
      </w:r>
    </w:p>
    <w:p>
      <w:pPr>
        <w:pStyle w:val="FirstParagraph"/>
      </w:pPr>
      <w:r>
        <w:t xml:space="preserve">Не включена гипотеза о том, какие доклады затем стали статьями в сборниках или журналах.</w:t>
      </w:r>
    </w:p>
    <w:p>
      <w:pPr>
        <w:pStyle w:val="BodyText"/>
      </w:pPr>
      <w:r>
        <w:t xml:space="preserve">Причина: PDF-источники пока привязаны к постам и выпускам, а не к конкретным докладам. Нужен отдельный парсинг оглавлений и сопоставление заголовков.</w:t>
      </w:r>
    </w:p>
    <w:bookmarkEnd w:id="20"/>
    <w:bookmarkEnd w:id="21"/>
    <w:bookmarkStart w:id="24" w:name="что-не-вошло-из-микросайта"/>
    <w:p>
      <w:pPr>
        <w:pStyle w:val="Heading2"/>
      </w:pPr>
      <w:r>
        <w:t xml:space="preserve">5. Что не вошло из микросайта</w:t>
      </w:r>
    </w:p>
    <w:bookmarkStart w:id="22" w:name="youtube"/>
    <w:p>
      <w:pPr>
        <w:pStyle w:val="Heading3"/>
      </w:pPr>
      <w:r>
        <w:t xml:space="preserve">YouTube</w:t>
      </w:r>
    </w:p>
    <w:p>
      <w:pPr>
        <w:pStyle w:val="FirstParagraph"/>
      </w:pPr>
      <w:r>
        <w:t xml:space="preserve">В статье оставлена только короткая ремарка, что видеоссылки не меняют микрокейсовый вывод. Не включены:</w:t>
      </w:r>
    </w:p>
    <w:p>
      <w:pPr>
        <w:pStyle w:val="Compact"/>
        <w:numPr>
          <w:ilvl w:val="0"/>
          <w:numId w:val="1005"/>
        </w:numPr>
      </w:pPr>
      <w:r>
        <w:t xml:space="preserve">полный список 178 YouTube-записей;</w:t>
      </w:r>
    </w:p>
    <w:p>
      <w:pPr>
        <w:pStyle w:val="Compact"/>
        <w:numPr>
          <w:ilvl w:val="0"/>
          <w:numId w:val="1005"/>
        </w:numPr>
      </w:pPr>
      <w:r>
        <w:t xml:space="preserve">89 auto-сопоставлений;</w:t>
      </w:r>
    </w:p>
    <w:p>
      <w:pPr>
        <w:pStyle w:val="Compact"/>
        <w:numPr>
          <w:ilvl w:val="0"/>
          <w:numId w:val="1005"/>
        </w:numPr>
      </w:pPr>
      <w:r>
        <w:t xml:space="preserve">65 needs_review;</w:t>
      </w:r>
    </w:p>
    <w:p>
      <w:pPr>
        <w:pStyle w:val="Compact"/>
        <w:numPr>
          <w:ilvl w:val="0"/>
          <w:numId w:val="1005"/>
        </w:numPr>
      </w:pPr>
      <w:r>
        <w:t xml:space="preserve">страницы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годовые страницы 2023, 2024, 2025;</w:t>
      </w:r>
    </w:p>
    <w:p>
      <w:pPr>
        <w:pStyle w:val="Compact"/>
        <w:numPr>
          <w:ilvl w:val="0"/>
          <w:numId w:val="1005"/>
        </w:numPr>
      </w:pPr>
      <w:r>
        <w:t xml:space="preserve">подробная проверка видео-покрытия по темам и участникам.</w:t>
      </w:r>
    </w:p>
    <w:p>
      <w:pPr>
        <w:pStyle w:val="FirstParagraph"/>
      </w:pPr>
      <w:r>
        <w:t xml:space="preserve">Причина: видеоархив является отдельным слоем публичной видимости и заслуживает отдельной короткой статьи или онлайн-приложения.</w:t>
      </w:r>
    </w:p>
    <w:bookmarkEnd w:id="22"/>
    <w:bookmarkStart w:id="23" w:name="страницы-гумилева"/>
    <w:p>
      <w:pPr>
        <w:pStyle w:val="Heading3"/>
      </w:pPr>
      <w:r>
        <w:t xml:space="preserve">Страницы Гумилева</w:t>
      </w:r>
    </w:p>
    <w:p>
      <w:pPr>
        <w:pStyle w:val="FirstParagraph"/>
      </w:pPr>
      <w:r>
        <w:t xml:space="preserve">В статье использована шкала G1-G3 как аналитический результат, но не включены:</w:t>
      </w:r>
    </w:p>
    <w:p>
      <w:pPr>
        <w:pStyle w:val="Compact"/>
        <w:numPr>
          <w:ilvl w:val="0"/>
          <w:numId w:val="1006"/>
        </w:numPr>
      </w:pPr>
      <w:r>
        <w:t xml:space="preserve">отдельные страницы</w:t>
      </w:r>
      <w:r>
        <w:t xml:space="preserve"> </w:t>
      </w:r>
      <w:r>
        <w:rPr>
          <w:rStyle w:val="VerbatimChar"/>
        </w:rPr>
        <w:t xml:space="preserve">gumilyov/level-1.html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level-2.html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level-3.html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полная таблица</w:t>
      </w:r>
      <w:r>
        <w:t xml:space="preserve"> </w:t>
      </w:r>
      <w:r>
        <w:rPr>
          <w:rStyle w:val="VerbatimChar"/>
        </w:rPr>
        <w:t xml:space="preserve">gumilyov_scale.csv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сравнение</w:t>
      </w:r>
      <w:r>
        <w:t xml:space="preserve"> </w:t>
      </w:r>
      <w:r>
        <w:rPr>
          <w:rStyle w:val="VerbatimChar"/>
        </w:rPr>
        <w:t xml:space="preserve">gumilyov_video_comparison.csv</w:t>
      </w:r>
      <w:r>
        <w:t xml:space="preserve"> </w:t>
      </w:r>
      <w:r>
        <w:t xml:space="preserve">целиком;</w:t>
      </w:r>
    </w:p>
    <w:p>
      <w:pPr>
        <w:pStyle w:val="Compact"/>
        <w:numPr>
          <w:ilvl w:val="0"/>
          <w:numId w:val="1006"/>
        </w:numPr>
      </w:pPr>
      <w:r>
        <w:t xml:space="preserve">все частные гипотезы Н27-Н34.</w:t>
      </w:r>
    </w:p>
    <w:p>
      <w:pPr>
        <w:pStyle w:val="FirstParagraph"/>
      </w:pPr>
      <w:r>
        <w:t xml:space="preserve">Причина: для подачной версии достаточно сильного вывода о распределении 1155/185/10, описания двухступенчатого аудита и отрицательного результата поколенческой проверки.</w:t>
      </w:r>
    </w:p>
    <w:bookmarkEnd w:id="23"/>
    <w:bookmarkEnd w:id="24"/>
    <w:bookmarkStart w:id="25" w:name="что-стоит-сделать-онлайн-суплементом"/>
    <w:p>
      <w:pPr>
        <w:pStyle w:val="Heading2"/>
      </w:pPr>
      <w:r>
        <w:t xml:space="preserve">6. Что стоит сделать онлайн-суплементом</w:t>
      </w:r>
    </w:p>
    <w:p>
      <w:pPr>
        <w:pStyle w:val="FirstParagraph"/>
      </w:pPr>
      <w:r>
        <w:t xml:space="preserve">Рекомендуемый состав онлайн-приложения: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site_data.json</w:t>
      </w:r>
      <w:r>
        <w:t xml:space="preserve"> </w:t>
      </w:r>
      <w:r>
        <w:t xml:space="preserve">с публичными карточками докладов и участников.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article/supplementary_theme_codes.csv</w:t>
      </w:r>
      <w:r>
        <w:t xml:space="preserve"> </w:t>
      </w:r>
      <w:r>
        <w:t xml:space="preserve">с полной тематической разметкой.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analytics_output/gumilyov_scale.csv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analytics_output/youtube_video_list.csv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analytics_output/video_presentation_mapping.csv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Таблицы из</w:t>
      </w:r>
      <w:r>
        <w:t xml:space="preserve"> </w:t>
      </w:r>
      <w:r>
        <w:rPr>
          <w:rStyle w:val="VerbatimChar"/>
        </w:rPr>
        <w:t xml:space="preserve">article/hypothesis_output/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Список 41 перекрестного участника.</w:t>
      </w:r>
    </w:p>
    <w:p>
      <w:pPr>
        <w:pStyle w:val="Compact"/>
        <w:numPr>
          <w:ilvl w:val="0"/>
          <w:numId w:val="1007"/>
        </w:numPr>
      </w:pPr>
      <w:r>
        <w:t xml:space="preserve">Методическое описание нулевой модели пересечения.</w:t>
      </w:r>
    </w:p>
    <w:p>
      <w:pPr>
        <w:pStyle w:val="FirstParagraph"/>
      </w:pPr>
      <w:r>
        <w:t xml:space="preserve">В статье достаточно дать ссылку на репозиторий/микросайт после финальной стабилизации адреса и, если возможно, DOI архива.</w:t>
      </w:r>
    </w:p>
    <w:bookmarkEnd w:id="25"/>
    <w:bookmarkStart w:id="26" w:name="возможные-следующие-статьи"/>
    <w:p>
      <w:pPr>
        <w:pStyle w:val="Heading2"/>
      </w:pPr>
      <w:r>
        <w:t xml:space="preserve">7. Возможные следующие статьи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Микрокейс как жанр российской индологии.</w:t>
      </w:r>
      <w:r>
        <w:t xml:space="preserve"> </w:t>
      </w:r>
      <w:r>
        <w:t xml:space="preserve">Развернуть шкалу G1-G3, дисциплинарные различия и отрицательный результат возрастной проверки.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Конференционная видимость и видеоархив.</w:t>
      </w:r>
      <w:r>
        <w:t xml:space="preserve"> </w:t>
      </w:r>
      <w:r>
        <w:t xml:space="preserve">YouTube-слой, сопоставление с программами, эффект открытости для вольнослушателей.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Периферия и институциональная занятость.</w:t>
      </w:r>
      <w:r>
        <w:t xml:space="preserve"> </w:t>
      </w:r>
      <w:r>
        <w:t xml:space="preserve">Проверить городские метки через authority-слой, отдельно разобрать Пензу.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Перекрестная когорта как сеть посредников.</w:t>
      </w:r>
      <w:r>
        <w:t xml:space="preserve"> </w:t>
      </w:r>
      <w:r>
        <w:t xml:space="preserve">Сессионные графы, тематическая устойчивость, роль ИКВИА/ВШЭ, ИСАА МГУ и ИВ РАН.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Публикационная конверсия конференционных докладов.</w:t>
      </w:r>
      <w:r>
        <w:t xml:space="preserve"> </w:t>
      </w:r>
      <w:r>
        <w:t xml:space="preserve">Связать программы с печатными сборниками и статьями.</w:t>
      </w:r>
    </w:p>
    <w:bookmarkEnd w:id="26"/>
    <w:bookmarkStart w:id="27" w:name="контрольный-вывод"/>
    <w:p>
      <w:pPr>
        <w:pStyle w:val="Heading2"/>
      </w:pPr>
      <w:r>
        <w:t xml:space="preserve">8. Контрольный вывод</w:t>
      </w:r>
    </w:p>
    <w:p>
      <w:pPr>
        <w:pStyle w:val="FirstParagraph"/>
      </w:pPr>
      <w:r>
        <w:t xml:space="preserve">Сокращенная статья не теряет главный смысл старого драфта, но меняет фокус. Вместо энциклопедического обзора всех проверок она делает один жесткий аргумент: две публичные конференционные среды российской индологии связаны слабее, чем кажется; тематически они различны; а нормальный жанр доклада в обеих средах - микрокейс. Широкие обобщения редки, однако их предполагаемая поколенческая маркированность расширенным корпусом не подтверждена.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2026-05-25T15:53:25Z</dcterms:created>
  <dcterms:modified xsi:type="dcterms:W3CDTF">2026-05-25T15:53:25Z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