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5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Редакционная пауза, 24.05.2026.</w:t>
      </w:r>
      <w:r>
        <w:t xml:space="preserve"> </w:t>
      </w:r>
      <w:r>
        <w:t xml:space="preserve">После восстановления ранее пропущенных</w:t>
      </w:r>
      <w:r>
        <w:t xml:space="preserve"> </w:t>
      </w:r>
      <w:r>
        <w:t xml:space="preserve">строк официальных программ текущая база содержит</w:t>
      </w:r>
      <w:r>
        <w:t xml:space="preserve"> </w:t>
      </w:r>
      <w:r>
        <w:rPr>
          <w:b/>
          <w:bCs/>
        </w:rPr>
        <w:t xml:space="preserve">286 участников, 1350</w:t>
      </w:r>
      <w:r>
        <w:rPr>
          <w:b/>
          <w:bCs/>
        </w:rPr>
        <w:t xml:space="preserve"> </w:t>
      </w:r>
      <w:r>
        <w:rPr>
          <w:b/>
          <w:bCs/>
        </w:rPr>
        <w:t xml:space="preserve">уникальных докладов и 1377 авторских участий</w:t>
      </w:r>
      <w:r>
        <w:t xml:space="preserve"> </w:t>
      </w:r>
      <w:r>
        <w:t xml:space="preserve">за</w:t>
      </w:r>
      <w:r>
        <w:t xml:space="preserve"> </w:t>
      </w:r>
      <w:r>
        <w:rPr>
          <w:b/>
          <w:bCs/>
        </w:rPr>
        <w:t xml:space="preserve">22 программных года</w:t>
      </w:r>
      <w:r>
        <w:t xml:space="preserve">.</w:t>
      </w:r>
      <w:r>
        <w:t xml:space="preserve"> </w:t>
      </w:r>
      <w:r>
        <w:t xml:space="preserve">Численные результаты этой расширенной рабочей версии требуют повторного</w:t>
      </w:r>
      <w:r>
        <w:t xml:space="preserve"> </w:t>
      </w:r>
      <w:r>
        <w:t xml:space="preserve">расчета перед использованием в публикации.</w:t>
      </w:r>
      <w:r>
        <w:t xml:space="preserve"> </w:t>
      </w:r>
      <w:r>
        <w:t xml:space="preserve">Сверенные текущие показатели вынесены в</w:t>
      </w:r>
      <w:r>
        <w:t xml:space="preserve"> </w:t>
      </w:r>
      <w:r>
        <w:rPr>
          <w:rStyle w:val="VerbatimChar"/>
        </w:rPr>
        <w:t xml:space="preserve">ppv_submission_article.md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и на страницу</w:t>
      </w:r>
      <w:r>
        <w:t xml:space="preserve"> </w:t>
      </w:r>
      <w:r>
        <w:rPr>
          <w:rStyle w:val="VerbatimChar"/>
        </w:rPr>
        <w:t xml:space="preserve">findings/</w:t>
      </w:r>
      <w:r>
        <w:t xml:space="preserve">; ниже в рабочем</w:t>
      </w:r>
      <w:r>
        <w:t xml:space="preserve"> </w:t>
      </w:r>
      <w:r>
        <w:t xml:space="preserve">драфте сохраняются отдельные архивные разделы старого расчетного слоя.</w:t>
      </w:r>
    </w:p>
    <w:p>
      <w:pPr>
        <w:pStyle w:val="FirstParagraph"/>
      </w:pPr>
      <w:r>
        <w:t xml:space="preserve">УДК 061.3:001.32(470:540)</w:t>
      </w:r>
    </w:p>
    <w:bookmarkStart w:id="85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FirstParagraph"/>
      </w:pPr>
      <w:r>
        <w:rPr>
          <w:b/>
          <w:bCs/>
        </w:rPr>
        <w:t xml:space="preserve">М. Ю. Гасунс</w:t>
      </w:r>
      <w:r>
        <w:t xml:space="preserve"> </w:t>
      </w:r>
      <w:r>
        <w:t xml:space="preserve">— независимый исследователь, Москва, Россия.</w:t>
      </w:r>
      <w:r>
        <w:t xml:space="preserve"> </w:t>
      </w:r>
      <w:r>
        <w:t xml:space="preserve">E-mail: gasyoun@gmail.com. ORCID: ___________________</w:t>
      </w:r>
      <w:r>
        <w:t xml:space="preserve"> </w:t>
      </w:r>
      <w:r>
        <w:rPr>
          <w:i/>
          <w:iCs/>
        </w:rPr>
        <w:t xml:space="preserve">(заполнить перед подачей)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M. Yu. Gasūns</w:t>
      </w:r>
      <w:r>
        <w:t xml:space="preserve"> </w:t>
      </w:r>
      <w:r>
        <w:t xml:space="preserve">— independent researcher, Moscow, Russia.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БД, а также формализованы</w:t>
      </w:r>
      <w:r>
        <w:t xml:space="preserve"> </w:t>
      </w:r>
      <w:r>
        <w:t xml:space="preserve">дополнительные гипотезы Н11–Н35.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Отдельно следует различать опубликованную программу и фактически состоявшийся ход</w:t>
      </w:r>
      <w:r>
        <w:t xml:space="preserve"> </w:t>
      </w:r>
      <w:r>
        <w:t xml:space="preserve">заседания. Программа фиксирует заявленное административное состояние расписания на</w:t>
      </w:r>
      <w:r>
        <w:t xml:space="preserve"> </w:t>
      </w:r>
      <w:r>
        <w:t xml:space="preserve">момент публикации, но не гарантирует, что каждый доклад был прочитан именно в</w:t>
      </w:r>
      <w:r>
        <w:t xml:space="preserve"> </w:t>
      </w:r>
      <w:r>
        <w:t xml:space="preserve">указанном формате и порядке. На практике возможны переход очного доклада в</w:t>
      </w:r>
      <w:r>
        <w:t xml:space="preserve"> </w:t>
      </w:r>
      <w:r>
        <w:t xml:space="preserve">онлайн-режим, перестановка выступлений внутри секции, отмена доклада или неявка</w:t>
      </w:r>
      <w:r>
        <w:t xml:space="preserve"> </w:t>
      </w:r>
      <w:r>
        <w:t xml:space="preserve">докладчика; при этом публичная программа после события может не обновляться. Поэтому</w:t>
      </w:r>
      <w:r>
        <w:t xml:space="preserve"> </w:t>
      </w:r>
      <w:r>
        <w:t xml:space="preserve">записи корпуса в настоящей статье трактуются как данные о публичной программной</w:t>
      </w:r>
      <w:r>
        <w:t xml:space="preserve"> </w:t>
      </w:r>
      <w:r>
        <w:t xml:space="preserve">видимости, а не как самостоятельное доказательство фактического присутствия,</w:t>
      </w:r>
      <w:r>
        <w:t xml:space="preserve"> </w:t>
      </w:r>
      <w:r>
        <w:t xml:space="preserve">прослушивания или рецепции доклада. Такие утверждения требуют дополнительной</w:t>
      </w:r>
      <w:r>
        <w:t xml:space="preserve"> </w:t>
      </w:r>
      <w:r>
        <w:t xml:space="preserve">верификации по видеозаписям, расписаниям дня, свидетельствам участников или</w:t>
      </w:r>
      <w:r>
        <w:t xml:space="preserve"> </w:t>
      </w:r>
      <w:r>
        <w:t xml:space="preserve">протоколам заседаний.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7976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2.6% (28 докладов из 1077).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5.7% (17 докладов из 300).</w:t>
      </w:r>
      <w:r>
        <w:t xml:space="preserve"> </w:t>
      </w:r>
      <w:r>
        <w:t xml:space="preserve">* Применение точного критерия Фишера указывает на статистически значимое различие между группами (</w:t>
      </w:r>
      <m:oMath>
        <m:r>
          <m:t>p</m:t>
        </m:r>
        <m:r>
          <m:rPr>
            <m:sty m:val="p"/>
          </m:rPr>
          <m:t>=</m:t>
        </m:r>
        <m:r>
          <m:t>0.0153</m:t>
        </m:r>
      </m:oMath>
      <w:r>
        <w:t xml:space="preserve">), но направление различия противоположно сильной версии гипотезы: относительная доля сериализованных докладов выше не у ядра, а у периферии.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0.276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5024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4505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 $</w:t>
      </w:r>
      <w:r>
        <w:t xml:space="preserve"> </w:t>
      </w:r>
      <w:r>
        <w:t xml:space="preserve">ho = -0.19$ 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9381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24.9% (194 дебютанта из 780 уникальных участнико-лет), а в эру Альбедиль — Иванова — 23.1% (27 из 117).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0.7603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0.8463</m:t>
        </m:r>
      </m:oMath>
      <w:r>
        <w:t xml:space="preserve">). Соотношение между доминирующими филологическими, философскими и религиоведческими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Распределение докладов по исследуемым эпохам также не показывает статистически значимого перераспределения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0.2619</m:t>
        </m:r>
      </m:oMath>
      <w:r>
        <w:t xml:space="preserve">). Описательно заметно снижение доли классического периода (с 37.6% в эру Василькова до 26.3% в эру Альбедиль — Иванова) и рост доли тем модерного периода (с 9.9% до 15.8%), но при текущем объеме двух переходных программ этот сюжет должен оставаться наблюдаемой тенденцией, а не доказанным сдвигом.</w:t>
      </w:r>
    </w:p>
    <w:p>
      <w:pPr>
        <w:pStyle w:val="BodyText"/>
      </w:pPr>
      <w:r>
        <w:t xml:space="preserve">Таким образом, смена руководства конференцией не привела к регистрируемой смене кадровой политики, дисциплинарного фокуса или распределения хронологических периодов. Описательное снижение доли классического периода и рост модерна в двух переходных программах можно показывать как наблюдаемую тенденцию, но не как доказанный тематический сдвиг.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8009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57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62" w:name="X4f170e5e280334d08f9d70bdc0189b7a99d7fa7"/>
    <w:p>
      <w:pPr>
        <w:pStyle w:val="Heading2"/>
      </w:pPr>
      <w:r>
        <w:t xml:space="preserve">10. Дополнительные гипотезы: источники, видео и масштаб обобщения</w:t>
      </w:r>
    </w:p>
    <w:p>
      <w:pPr>
        <w:pStyle w:val="FirstParagraph"/>
      </w:pPr>
      <w:r>
        <w:t xml:space="preserve">После основной проверки Н1–Н10 корпус позволяет поставить еще несколько групп</w:t>
      </w:r>
      <w:r>
        <w:t xml:space="preserve"> </w:t>
      </w:r>
      <w:r>
        <w:t xml:space="preserve">гипотез, связанных не столько с численностью площадок, сколько с устройством</w:t>
      </w:r>
      <w:r>
        <w:t xml:space="preserve"> </w:t>
      </w:r>
      <w:r>
        <w:t xml:space="preserve">источниковой видимости, жанром доклада и масштабом научного обобщения. Их статус</w:t>
      </w:r>
      <w:r>
        <w:t xml:space="preserve"> </w:t>
      </w:r>
      <w:r>
        <w:t xml:space="preserve">различен: часть уже проверяется текущими таблицами, часть требует отдельного</w:t>
      </w:r>
      <w:r>
        <w:t xml:space="preserve"> </w:t>
      </w:r>
      <w:r>
        <w:t xml:space="preserve">биографического или институционального слоя данных и поэтому ниже фиксируется как</w:t>
      </w:r>
      <w:r>
        <w:t xml:space="preserve"> </w:t>
      </w:r>
      <w:r>
        <w:t xml:space="preserve">проверяемая, но пока не доказанная исследовательская программа. Сильные результаты</w:t>
      </w:r>
      <w:r>
        <w:t xml:space="preserve"> </w:t>
      </w:r>
      <w:r>
        <w:t xml:space="preserve">выделены как подтвержденные или предварительно подтвержденные; слабые оставлены как</w:t>
      </w:r>
      <w:r>
        <w:t xml:space="preserve"> </w:t>
      </w:r>
      <w:r>
        <w:t xml:space="preserve">направления дальнейшей проверки, чтобы не подменять статистику интерпретацией.</w:t>
      </w:r>
    </w:p>
    <w:bookmarkStart w:id="59" w:name="источниковая-видимость-и-медиаслой"/>
    <w:p>
      <w:pPr>
        <w:pStyle w:val="Heading3"/>
      </w:pPr>
      <w:r>
        <w:t xml:space="preserve">10.1. Источниковая видимость и медиаслой</w:t>
      </w:r>
    </w:p>
    <w:p>
      <w:pPr>
        <w:pStyle w:val="FirstParagraph"/>
      </w:pPr>
      <w:r>
        <w:rPr>
          <w:b/>
          <w:bCs/>
        </w:rPr>
        <w:t xml:space="preserve">Н11. «Город вместо учреждения» является эффектом формата программы, а не прямым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признаком внеинституционального статуса участника.</w:t>
      </w:r>
      <w:r>
        <w:t xml:space="preserve"> </w:t>
      </w:r>
      <w:r>
        <w:t xml:space="preserve">Эта гипотеза подтверждается</w:t>
      </w:r>
      <w:r>
        <w:t xml:space="preserve"> </w:t>
      </w:r>
      <w:r>
        <w:t xml:space="preserve">сильнее всего. В 899 авторских участиях доля записей, где вместо учреждения указан</w:t>
      </w:r>
      <w:r>
        <w:t xml:space="preserve"> </w:t>
      </w:r>
      <w:r>
        <w:t xml:space="preserve">только город, резко различается между площадками: 94.7% для Зографских чтений</w:t>
      </w:r>
      <w:r>
        <w:t xml:space="preserve"> </w:t>
      </w:r>
      <w:r>
        <w:t xml:space="preserve">против 13.0% для Рериховских. Стратифицированная по годам проверка (метод</w:t>
      </w:r>
      <w:r>
        <w:t xml:space="preserve"> </w:t>
      </w:r>
      <w:r>
        <w:t xml:space="preserve">Кохрана–Мантеля–Хензеля) дает отношение шансов около 157 при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85</m:t>
            </m:r>
          </m:sup>
        </m:sSup>
      </m:oMath>
      <w:r>
        <w:t xml:space="preserve"> </w:t>
      </w:r>
      <w:r>
        <w:t xml:space="preserve">(см. приложение Г.4). Поэтому городская метка в программе не должна</w:t>
      </w:r>
      <w:r>
        <w:t xml:space="preserve"> </w:t>
      </w:r>
      <w:r>
        <w:t xml:space="preserve">автоматически читаться как место работы, тип учреждения или отсутствие институции:</w:t>
      </w:r>
      <w:r>
        <w:t xml:space="preserve"> </w:t>
      </w:r>
      <w:r>
        <w:t xml:space="preserve">прежде всего это редакционный стандарт публикации программы.</w:t>
      </w:r>
    </w:p>
    <w:p>
      <w:pPr>
        <w:pStyle w:val="BodyText"/>
      </w:pPr>
      <w:r>
        <w:rPr>
          <w:b/>
          <w:bCs/>
        </w:rPr>
        <w:t xml:space="preserve">Н12. Периферийное участие может быть чаще внеуниверситетским или</w:t>
      </w:r>
      <w:r>
        <w:rPr>
          <w:b/>
          <w:bCs/>
        </w:rPr>
        <w:t xml:space="preserve"> </w:t>
      </w:r>
      <w:r>
        <w:rPr>
          <w:b/>
          <w:bCs/>
        </w:rPr>
        <w:t xml:space="preserve">внеинституциональным, но текущий корпус сам по себе этого не доказывает.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уверенно показывают более низкую возвращаемость региональных участников: 36.1%</w:t>
      </w:r>
      <w:r>
        <w:t xml:space="preserve"> </w:t>
      </w:r>
      <w:r>
        <w:t xml:space="preserve">против примерно 59% у столичных групп. Однако из строки «Казань», «Калининград»,</w:t>
      </w:r>
      <w:r>
        <w:t xml:space="preserve"> </w:t>
      </w:r>
      <w:r>
        <w:t xml:space="preserve">«Пенза» или «Екатеринбург» нельзя вывести, работает ли участник в университете,</w:t>
      </w:r>
      <w:r>
        <w:t xml:space="preserve"> </w:t>
      </w:r>
      <w:r>
        <w:t xml:space="preserve">академическом институте, музее, школе, независимом исследовательском статусе или</w:t>
      </w:r>
      <w:r>
        <w:t xml:space="preserve"> </w:t>
      </w:r>
      <w:r>
        <w:t xml:space="preserve">иной организации. Следовательно, корректная формулировка Н12 такова: региональная</w:t>
      </w:r>
      <w:r>
        <w:t xml:space="preserve"> </w:t>
      </w:r>
      <w:r>
        <w:t xml:space="preserve">периферия демонстрирует более слабую когортную устойчивость, а гипотеза о ее</w:t>
      </w:r>
      <w:r>
        <w:t xml:space="preserve"> </w:t>
      </w:r>
      <w:r>
        <w:t xml:space="preserve">внеуниверситетском характере требует отдельного authority-слоя с ручной или внешней</w:t>
      </w:r>
      <w:r>
        <w:t xml:space="preserve"> </w:t>
      </w:r>
      <w:r>
        <w:t xml:space="preserve">верификацией занятости. Пенза в этом смысле должна рассматриваться как возможное</w:t>
      </w:r>
      <w:r>
        <w:t xml:space="preserve"> </w:t>
      </w:r>
      <w:r>
        <w:t xml:space="preserve">исключение и контрольный кейс, а не как вывод из одной городской метки.</w:t>
      </w:r>
    </w:p>
    <w:p>
      <w:pPr>
        <w:pStyle w:val="BodyText"/>
      </w:pPr>
      <w:r>
        <w:rPr>
          <w:b/>
          <w:bCs/>
        </w:rPr>
        <w:t xml:space="preserve">Н13. YouTube-покрытие является не нейтральным зеркалом корпуса, а смещенным слоем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публичной видимости.</w:t>
      </w:r>
      <w:r>
        <w:t xml:space="preserve"> </w:t>
      </w:r>
      <w:r>
        <w:t xml:space="preserve">В собранных плейлистах насчитывается 178 видеозаписей, из</w:t>
      </w:r>
      <w:r>
        <w:t xml:space="preserve"> </w:t>
      </w:r>
      <w:r>
        <w:t xml:space="preserve">которых 89 автоматически сопоставлены с докладами, 65 требуют ручной проверки и</w:t>
      </w:r>
      <w:r>
        <w:t xml:space="preserve"> </w:t>
      </w:r>
      <w:r>
        <w:t xml:space="preserve">24 относятся к пропускам или сессионным записям. На уровне базы прямые ссылки на</w:t>
      </w:r>
      <w:r>
        <w:t xml:space="preserve"> </w:t>
      </w:r>
      <w:r>
        <w:t xml:space="preserve">видео привязаны к 82 уникальным докладам (84 авторским карточкам). Это покрытие</w:t>
      </w:r>
      <w:r>
        <w:t xml:space="preserve"> </w:t>
      </w:r>
      <w:r>
        <w:t xml:space="preserve">сильно неравномерно: оно относится почти исключительно к Зографским чтениям,</w:t>
      </w:r>
      <w:r>
        <w:t xml:space="preserve"> </w:t>
      </w:r>
      <w:r>
        <w:t xml:space="preserve">концентрируется в отдельных годах (особенно 2020 и 2025 гг.) и заметно различается</w:t>
      </w:r>
      <w:r>
        <w:t xml:space="preserve"> </w:t>
      </w:r>
      <w:r>
        <w:t xml:space="preserve">по тематическим группам. Поэтому видеослой полезен для анализа открытости и</w:t>
      </w:r>
      <w:r>
        <w:t xml:space="preserve"> </w:t>
      </w:r>
      <w:r>
        <w:t xml:space="preserve">видимости, но не должен использоваться как репрезентативная выборка всего корпуса</w:t>
      </w:r>
      <w:r>
        <w:t xml:space="preserve"> </w:t>
      </w:r>
      <w:r>
        <w:t xml:space="preserve">без поправки на смещение публикации.</w:t>
      </w:r>
    </w:p>
    <w:p>
      <w:pPr>
        <w:pStyle w:val="BodyText"/>
      </w:pPr>
      <w:r>
        <w:rPr>
          <w:b/>
          <w:bCs/>
        </w:rPr>
        <w:t xml:space="preserve">Н14. Шкала Гумилева фиксирует преобладание микрокейсового уровня обобщения.</w:t>
      </w:r>
      <w:r>
        <w:t xml:space="preserve"> </w:t>
      </w:r>
      <w:r>
        <w:t xml:space="preserve">Для навигации по докладам введена отдельная шкала уровня обобщения: G1 – отдельный</w:t>
      </w:r>
      <w:r>
        <w:t xml:space="preserve"> </w:t>
      </w:r>
      <w:r>
        <w:t xml:space="preserve">текст, автор, источник, термин или локальный сюжет; G2 – региональная традиция,</w:t>
      </w:r>
      <w:r>
        <w:t xml:space="preserve"> </w:t>
      </w:r>
      <w:r>
        <w:t xml:space="preserve">школа, жанр или длительная историко-культурная линия; G3 – широкий</w:t>
      </w:r>
      <w:r>
        <w:t xml:space="preserve"> </w:t>
      </w:r>
      <w:r>
        <w:t xml:space="preserve">сравнительный, цивилизационный или методологический уровень. В интерфейсе</w:t>
      </w:r>
      <w:r>
        <w:t xml:space="preserve"> </w:t>
      </w:r>
      <w:r>
        <w:t xml:space="preserve">микросайта эти уровни показаны как L1–L3, но в статье они обозначаются G1–G3,</w:t>
      </w:r>
      <w:r>
        <w:t xml:space="preserve"> </w:t>
      </w:r>
      <w:r>
        <w:t xml:space="preserve">чтобы не смешивать их с тематическими кодами L1/L2/L4. По 895 уникальным докладам</w:t>
      </w:r>
      <w:r>
        <w:t xml:space="preserve"> </w:t>
      </w:r>
      <w:r>
        <w:t xml:space="preserve">распределение резко асимметрично: G1 – 852 доклада, G2 – 37, G3 – 6. Тем самым</w:t>
      </w:r>
      <w:r>
        <w:t xml:space="preserve"> </w:t>
      </w:r>
      <w:r>
        <w:t xml:space="preserve">корпус в целом устроен как поле конкретных источниковедческих и текстологических</w:t>
      </w:r>
      <w:r>
        <w:t xml:space="preserve"> </w:t>
      </w:r>
      <w:r>
        <w:t xml:space="preserve">кейсов, а не как пространство регулярных макросравнительных обобщений.</w:t>
      </w:r>
    </w:p>
    <w:p>
      <w:pPr>
        <w:pStyle w:val="BodyText"/>
      </w:pPr>
      <w:r>
        <w:rPr>
          <w:b/>
          <w:bCs/>
        </w:rPr>
        <w:t xml:space="preserve">Н15. Классификация по заголовку в большинстве случаев устойчива, но видеоконтекст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границы автоматической разметки.</w:t>
      </w:r>
      <w:r>
        <w:t xml:space="preserve"> </w:t>
      </w:r>
      <w:r>
        <w:t xml:space="preserve">Для 89 сопоставленных видеозаписей</w:t>
      </w:r>
      <w:r>
        <w:t xml:space="preserve"> </w:t>
      </w:r>
      <w:r>
        <w:t xml:space="preserve">сравнение уровня Гумилева, назначенного только по названию доклада, с уровнем,</w:t>
      </w:r>
      <w:r>
        <w:t xml:space="preserve"> </w:t>
      </w:r>
      <w:r>
        <w:t xml:space="preserve">полученным с учетом названия видео, дает 76 совпадений и 13 расхождений, то есть</w:t>
      </w:r>
      <w:r>
        <w:t xml:space="preserve"> </w:t>
      </w:r>
      <w:r>
        <w:t xml:space="preserve">согласие около 85%. Это достаточный уровень для навигационной классификации и</w:t>
      </w:r>
      <w:r>
        <w:t xml:space="preserve"> </w:t>
      </w:r>
      <w:r>
        <w:t xml:space="preserve">первичной статистики, но не для жестких выводов о научном стиле отдельного автора</w:t>
      </w:r>
      <w:r>
        <w:t xml:space="preserve"> </w:t>
      </w:r>
      <w:r>
        <w:t xml:space="preserve">без просмотра записи и ручной верификации спорных случаев.</w:t>
      </w:r>
    </w:p>
    <w:bookmarkEnd w:id="59"/>
    <w:bookmarkStart w:id="60" w:name="X3d7cc22571022004121cca708e6e900a893a416"/>
    <w:p>
      <w:pPr>
        <w:pStyle w:val="Heading3"/>
      </w:pPr>
      <w:r>
        <w:t xml:space="preserve">10.2. Дополнительные социальные и жанровые гипотезы</w:t>
      </w:r>
    </w:p>
    <w:p>
      <w:pPr>
        <w:pStyle w:val="FirstParagraph"/>
      </w:pPr>
      <w:r>
        <w:rPr>
          <w:b/>
          <w:bCs/>
        </w:rPr>
        <w:t xml:space="preserve">Н16. Онлайн-формат 2020 г. расширил вход, но не создал устойчивую новую когорту.</w:t>
      </w:r>
      <w:r>
        <w:t xml:space="preserve"> </w:t>
      </w:r>
      <w:r>
        <w:t xml:space="preserve">В 2020 г. в корпус вошли 16 дебютантов; к последующим годам вернулись 8 из них</w:t>
      </w:r>
      <w:r>
        <w:t xml:space="preserve"> </w:t>
      </w:r>
      <w:r>
        <w:t xml:space="preserve">(50.0%). Для дебютантов соседнего периода 2018–2019 и 2021–2022 гг. возвращаемость</w:t>
      </w:r>
      <w:r>
        <w:t xml:space="preserve"> </w:t>
      </w:r>
      <w:r>
        <w:t xml:space="preserve">составляет 20 из 35 (57.1%);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0.764</m:t>
        </m:r>
      </m:oMath>
      <w:r>
        <w:t xml:space="preserve">). Следовательно,</w:t>
      </w:r>
      <w:r>
        <w:t xml:space="preserve"> </w:t>
      </w:r>
      <w:r>
        <w:t xml:space="preserve">пандемийный и онлайн-контекст мог облегчить вход, но пока не выглядит механизмом</w:t>
      </w:r>
      <w:r>
        <w:t xml:space="preserve"> </w:t>
      </w:r>
      <w:r>
        <w:t xml:space="preserve">долговременного закрепления новых участников.</w:t>
      </w:r>
    </w:p>
    <w:p>
      <w:pPr>
        <w:pStyle w:val="BodyText"/>
      </w:pPr>
      <w:r>
        <w:rPr>
          <w:b/>
          <w:bCs/>
        </w:rPr>
        <w:t xml:space="preserve">Н17. Тематическая специализация сама по себе не повышает удержание участника.</w:t>
      </w:r>
      <w:r>
        <w:t xml:space="preserve"> </w:t>
      </w:r>
      <w:r>
        <w:t xml:space="preserve">Первоначальная формулировка предполагала, что возвращаются прежде всего авторы с</w:t>
      </w:r>
      <w:r>
        <w:t xml:space="preserve"> </w:t>
      </w:r>
      <w:r>
        <w:t xml:space="preserve">устойчивой темой. Текущий срез скорее усложняет этот тезис: участники ядра имеют</w:t>
      </w:r>
      <w:r>
        <w:t xml:space="preserve"> </w:t>
      </w:r>
      <w:r>
        <w:t xml:space="preserve">больше тематических рубрик в абсолютном выражении (медиана 3 против 1 у не-ядра),</w:t>
      </w:r>
      <w:r>
        <w:t xml:space="preserve"> </w:t>
      </w:r>
      <w:r>
        <w:t xml:space="preserve">что частично связано с большим числом докладов, а среди повторных участников ядро</w:t>
      </w:r>
      <w:r>
        <w:t xml:space="preserve"> </w:t>
      </w:r>
      <w:r>
        <w:t xml:space="preserve">сохраняет более выраженный профиль доминирующей темы, но не становится тематически</w:t>
      </w:r>
      <w:r>
        <w:t xml:space="preserve"> </w:t>
      </w:r>
      <w:r>
        <w:t xml:space="preserve">однообразным. Поэтому Н17 следует считать не подтвержденной в простой форме: удержание</w:t>
      </w:r>
      <w:r>
        <w:t xml:space="preserve"> </w:t>
      </w:r>
      <w:r>
        <w:t xml:space="preserve">связано не с одной темой, а с сочетанием долговременной специализации и способности</w:t>
      </w:r>
      <w:r>
        <w:t xml:space="preserve"> </w:t>
      </w:r>
      <w:r>
        <w:t xml:space="preserve">переходить между близкими сюжетами.</w:t>
      </w:r>
    </w:p>
    <w:p>
      <w:pPr>
        <w:pStyle w:val="BodyText"/>
      </w:pPr>
      <w:r>
        <w:rPr>
          <w:b/>
          <w:bCs/>
        </w:rPr>
        <w:t xml:space="preserve">Н18. Перекрестные участники не являются универсалами, а переносят между площадками</w:t>
      </w:r>
      <w:r>
        <w:rPr>
          <w:b/>
          <w:bCs/>
        </w:rPr>
        <w:t xml:space="preserve"> </w:t>
      </w:r>
      <w:r>
        <w:rPr>
          <w:b/>
          <w:bCs/>
        </w:rPr>
        <w:t xml:space="preserve">собственные тематические траектории.</w:t>
      </w:r>
      <w:r>
        <w:t xml:space="preserve"> </w:t>
      </w:r>
      <w:r>
        <w:t xml:space="preserve">Для 38 участников обеих площадок медианная</w:t>
      </w:r>
      <w:r>
        <w:t xml:space="preserve"> </w:t>
      </w:r>
      <w:r>
        <w:t xml:space="preserve">косинусная близость тематических профилей между Зографом и Рерихом составляет около</w:t>
      </w:r>
      <w:r>
        <w:t xml:space="preserve"> </w:t>
      </w:r>
      <w:r>
        <w:t xml:space="preserve">0.79. При этом совпадение доминирующей крупной рубрики наблюдается не у всех, поскольку</w:t>
      </w:r>
      <w:r>
        <w:t xml:space="preserve"> </w:t>
      </w:r>
      <w:r>
        <w:t xml:space="preserve">часть ранних и зографских докладов попадает в широкую категорию «не классифицировано».</w:t>
      </w:r>
      <w:r>
        <w:t xml:space="preserve"> </w:t>
      </w:r>
      <w:r>
        <w:t xml:space="preserve">Гипотеза поэтому предварительно поддержана на уровне близости профилей, но нуждается</w:t>
      </w:r>
      <w:r>
        <w:t xml:space="preserve"> </w:t>
      </w:r>
      <w:r>
        <w:t xml:space="preserve">в проверке на более детальной тематической сетке.</w:t>
      </w:r>
    </w:p>
    <w:p>
      <w:pPr>
        <w:pStyle w:val="BodyText"/>
      </w:pPr>
      <w:r>
        <w:rPr>
          <w:b/>
          <w:bCs/>
        </w:rPr>
        <w:t xml:space="preserve">Н19. Рериховские чтения сильнее завязаны на институциональную преемственность,</w:t>
      </w:r>
      <w:r>
        <w:rPr>
          <w:b/>
          <w:bCs/>
        </w:rPr>
        <w:t xml:space="preserve"> </w:t>
      </w:r>
      <w:r>
        <w:rPr>
          <w:b/>
          <w:bCs/>
        </w:rPr>
        <w:t xml:space="preserve">а Зографские – на персональную и городскую видимость.</w:t>
      </w:r>
      <w:r>
        <w:t xml:space="preserve"> </w:t>
      </w:r>
      <w:r>
        <w:t xml:space="preserve">Эта гипотеза объединяет</w:t>
      </w:r>
      <w:r>
        <w:t xml:space="preserve"> </w:t>
      </w:r>
      <w:r>
        <w:t xml:space="preserve">результаты Н11 и институционального раздела: Рериховские программы чаще показывают</w:t>
      </w:r>
      <w:r>
        <w:t xml:space="preserve"> </w:t>
      </w:r>
      <w:r>
        <w:t xml:space="preserve">организации, тогда как Зографские почти всегда публикуют город. Следовательно,</w:t>
      </w:r>
      <w:r>
        <w:t xml:space="preserve"> </w:t>
      </w:r>
      <w:r>
        <w:t xml:space="preserve">сравниваются не только две конференции, но и два режима публичного представления</w:t>
      </w:r>
      <w:r>
        <w:t xml:space="preserve"> </w:t>
      </w:r>
      <w:r>
        <w:t xml:space="preserve">академической принадлежности: институциональный и персонально-городской.</w:t>
      </w:r>
    </w:p>
    <w:p>
      <w:pPr>
        <w:pStyle w:val="BodyText"/>
      </w:pPr>
      <w:r>
        <w:rPr>
          <w:b/>
          <w:bCs/>
        </w:rPr>
        <w:t xml:space="preserve">Н20. Высокая доля микрокейсового уровня связана с низкой межавторской интеграцией</w:t>
      </w:r>
      <w:r>
        <w:rPr>
          <w:b/>
          <w:bCs/>
        </w:rPr>
        <w:t xml:space="preserve"> </w:t>
      </w:r>
      <w:r>
        <w:rPr>
          <w:b/>
          <w:bCs/>
        </w:rPr>
        <w:t xml:space="preserve">поля.</w:t>
      </w:r>
      <w:r>
        <w:t xml:space="preserve"> </w:t>
      </w:r>
      <w:r>
        <w:t xml:space="preserve">Более 99% докладов остаются индивидуальными, а 95.2% уникальных докладов</w:t>
      </w:r>
      <w:r>
        <w:t xml:space="preserve"> </w:t>
      </w:r>
      <w:r>
        <w:t xml:space="preserve">относятся к уровню G1. Прямая причинная связь между этими признаками не доказана:</w:t>
      </w:r>
      <w:r>
        <w:t xml:space="preserve"> </w:t>
      </w:r>
      <w:r>
        <w:t xml:space="preserve">и микрокейсовость, и индивидуальное авторство могут быть независимыми следствиями</w:t>
      </w:r>
      <w:r>
        <w:t xml:space="preserve"> </w:t>
      </w:r>
      <w:r>
        <w:t xml:space="preserve">гуманитарного жанра. Но вместе они задают проверяемую модель поля как совокупности</w:t>
      </w:r>
      <w:r>
        <w:t xml:space="preserve"> </w:t>
      </w:r>
      <w:r>
        <w:t xml:space="preserve">индивидуальных источниковедческих траекторий, а не коллективных исследовательских</w:t>
      </w:r>
      <w:r>
        <w:t xml:space="preserve"> </w:t>
      </w:r>
      <w:r>
        <w:t xml:space="preserve">программ.</w:t>
      </w:r>
    </w:p>
    <w:p>
      <w:pPr>
        <w:pStyle w:val="BodyText"/>
      </w:pPr>
      <w:r>
        <w:rPr>
          <w:b/>
          <w:bCs/>
        </w:rPr>
        <w:t xml:space="preserve">Н21. Ядро не обязательно более тематически закрыто, чем периферия.</w:t>
      </w:r>
      <w:r>
        <w:t xml:space="preserve"> </w:t>
      </w:r>
      <w:r>
        <w:t xml:space="preserve">На грубом</w:t>
      </w:r>
      <w:r>
        <w:t xml:space="preserve"> </w:t>
      </w:r>
      <w:r>
        <w:t xml:space="preserve">уровне ядро имеет больше тематических рубрик, потому что чаще выступает. При сравнении</w:t>
      </w:r>
      <w:r>
        <w:t xml:space="preserve"> </w:t>
      </w:r>
      <w:r>
        <w:t xml:space="preserve">только повторных участников ядро показывает не полную монотематичность, а устойчивое</w:t>
      </w:r>
      <w:r>
        <w:t xml:space="preserve"> </w:t>
      </w:r>
      <w:r>
        <w:t xml:space="preserve">возвращение к нескольким близким направлениям. Поэтому Н21 важна как корректирующая:</w:t>
      </w:r>
      <w:r>
        <w:t xml:space="preserve"> </w:t>
      </w:r>
      <w:r>
        <w:t xml:space="preserve">«ядро» нельзя автоматически отождествлять с тематической закрытостью; оно скорее</w:t>
      </w:r>
      <w:r>
        <w:t xml:space="preserve"> </w:t>
      </w:r>
      <w:r>
        <w:t xml:space="preserve">обладает большей емкостью и более длинной траекторией.</w:t>
      </w:r>
    </w:p>
    <w:p>
      <w:pPr>
        <w:pStyle w:val="BodyText"/>
      </w:pPr>
      <w:r>
        <w:rPr>
          <w:b/>
          <w:bCs/>
        </w:rPr>
        <w:t xml:space="preserve">Н22. Новички чаще входят через современные или колониальные сюжеты, но не через</w:t>
      </w:r>
      <w:r>
        <w:rPr>
          <w:b/>
          <w:bCs/>
        </w:rPr>
        <w:t xml:space="preserve"> </w:t>
      </w:r>
      <w:r>
        <w:rPr>
          <w:b/>
          <w:bCs/>
        </w:rPr>
        <w:t xml:space="preserve">прикладные темы.</w:t>
      </w:r>
      <w:r>
        <w:t xml:space="preserve"> </w:t>
      </w:r>
      <w:r>
        <w:t xml:space="preserve">На уровне авторских участий современные/колониальные темы</w:t>
      </w:r>
      <w:r>
        <w:t xml:space="preserve"> </w:t>
      </w:r>
      <w:r>
        <w:t xml:space="preserve">составляют 21.8% дебютных докладов против 15.8% повторных (</w:t>
      </w:r>
      <m:oMath>
        <m:r>
          <m:t>p</m:t>
        </m:r>
        <m:r>
          <m:rPr>
            <m:sty m:val="p"/>
          </m:rPr>
          <m:t>≈</m:t>
        </m:r>
        <m:r>
          <m:t>0.0505</m:t>
        </m:r>
      </m:oMath>
      <w:r>
        <w:t xml:space="preserve">),</w:t>
      </w:r>
      <w:r>
        <w:t xml:space="preserve"> </w:t>
      </w:r>
      <w:r>
        <w:t xml:space="preserve">то есть эффект находится на границе значимости. Прикладные и методологические</w:t>
      </w:r>
      <w:r>
        <w:t xml:space="preserve"> </w:t>
      </w:r>
      <w:r>
        <w:t xml:space="preserve">доклады, напротив, не чаще встречаются у дебютантов (5.0% против 7.5%,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0.222</m:t>
        </m:r>
      </m:oMath>
      <w:r>
        <w:t xml:space="preserve">). Поэтому Н22 подтверждается только в части современно-колониального входа,</w:t>
      </w:r>
      <w:r>
        <w:t xml:space="preserve"> </w:t>
      </w:r>
      <w:r>
        <w:t xml:space="preserve">но не как общий «прикладной» канал.</w:t>
      </w:r>
    </w:p>
    <w:p>
      <w:pPr>
        <w:pStyle w:val="BodyText"/>
      </w:pPr>
      <w:r>
        <w:rPr>
          <w:b/>
          <w:bCs/>
        </w:rPr>
        <w:t xml:space="preserve">Н23. Возможные гендерные различия в удержании и тематических нишах пока не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проверяются корректно.</w:t>
      </w:r>
      <w:r>
        <w:t xml:space="preserve"> </w:t>
      </w:r>
      <w:r>
        <w:t xml:space="preserve">В текущей базе нет надежного верифицированного поля пола</w:t>
      </w:r>
      <w:r>
        <w:t xml:space="preserve"> </w:t>
      </w:r>
      <w:r>
        <w:t xml:space="preserve">или гендера участника. Следовательно, эта гипотеза сохраняется как потенциально</w:t>
      </w:r>
      <w:r>
        <w:t xml:space="preserve"> </w:t>
      </w:r>
      <w:r>
        <w:t xml:space="preserve">важная для будущего исследования, но не включается в доказательную часть без</w:t>
      </w:r>
      <w:r>
        <w:t xml:space="preserve"> </w:t>
      </w:r>
      <w:r>
        <w:t xml:space="preserve">отдельного этически и источниковедчески аккуратного слоя разметки.</w:t>
      </w:r>
    </w:p>
    <w:p>
      <w:pPr>
        <w:pStyle w:val="BodyText"/>
      </w:pPr>
      <w:r>
        <w:rPr>
          <w:b/>
          <w:bCs/>
        </w:rPr>
        <w:t xml:space="preserve">Н24. Жанр заголовка меняется после 2020 г., но не как простой линейный рост длины.</w:t>
      </w:r>
      <w:r>
        <w:t xml:space="preserve"> </w:t>
      </w:r>
      <w:r>
        <w:t xml:space="preserve">Медиана длины названия остается около 8 слов, однако после 2023 г. растет средняя</w:t>
      </w:r>
      <w:r>
        <w:t xml:space="preserve"> </w:t>
      </w:r>
      <w:r>
        <w:t xml:space="preserve">длина (до 10.3 слова) и доля названий с двоеточием (25.5%). При этом общий</w:t>
      </w:r>
      <w:r>
        <w:t xml:space="preserve"> </w:t>
      </w:r>
      <w:r>
        <w:t xml:space="preserve">монотонный тренд по годам неоднозначен. Поэтому корректная формулировка Н24: в</w:t>
      </w:r>
      <w:r>
        <w:t xml:space="preserve"> </w:t>
      </w:r>
      <w:r>
        <w:t xml:space="preserve">новейшем слое заметно усиливается объяснительный и подзаголовочный жанр названия,</w:t>
      </w:r>
      <w:r>
        <w:t xml:space="preserve"> </w:t>
      </w:r>
      <w:r>
        <w:t xml:space="preserve">но это не сводится к простому ежегодному удлинению всех заголовков.</w:t>
      </w:r>
    </w:p>
    <w:p>
      <w:pPr>
        <w:pStyle w:val="BodyText"/>
      </w:pPr>
      <w:r>
        <w:rPr>
          <w:b/>
          <w:bCs/>
        </w:rPr>
        <w:t xml:space="preserve">Н25. Видеоархив усиливает видимость технически доступных годов и слабо связан с</w:t>
      </w:r>
      <w:r>
        <w:rPr>
          <w:b/>
          <w:bCs/>
        </w:rPr>
        <w:t xml:space="preserve"> </w:t>
      </w:r>
      <w:r>
        <w:rPr>
          <w:b/>
          <w:bCs/>
        </w:rPr>
        <w:t xml:space="preserve">центральностью участника.</w:t>
      </w:r>
      <w:r>
        <w:t xml:space="preserve"> </w:t>
      </w:r>
      <w:r>
        <w:t xml:space="preserve">Прямые видеоссылки есть у 82 докладов; доля видео у</w:t>
      </w:r>
      <w:r>
        <w:t xml:space="preserve"> </w:t>
      </w:r>
      <w:r>
        <w:t xml:space="preserve">докладов ядра (9.0%) почти не отличается от не-ядра (9.5%), а у перекрестных</w:t>
      </w:r>
      <w:r>
        <w:t xml:space="preserve"> </w:t>
      </w:r>
      <w:r>
        <w:t xml:space="preserve">участников (8.2%) – от одноплощадочных (9.8%). Значит YouTube-покрытие отражает</w:t>
      </w:r>
      <w:r>
        <w:t xml:space="preserve"> </w:t>
      </w:r>
      <w:r>
        <w:t xml:space="preserve">не столько статус автора, сколько год, режим записи и последующую публикацию</w:t>
      </w:r>
      <w:r>
        <w:t xml:space="preserve"> </w:t>
      </w:r>
      <w:r>
        <w:t xml:space="preserve">материалов.</w:t>
      </w:r>
    </w:p>
    <w:bookmarkEnd w:id="60"/>
    <w:bookmarkStart w:id="61" w:name="X520e2aba90629ba133a201935eafe38e2634f9f"/>
    <w:p>
      <w:pPr>
        <w:pStyle w:val="Heading3"/>
      </w:pPr>
      <w:r>
        <w:t xml:space="preserve">10.3. Гумилевская шкала как ось масштаба обобщения</w:t>
      </w:r>
    </w:p>
    <w:p>
      <w:pPr>
        <w:pStyle w:val="FirstParagraph"/>
      </w:pPr>
      <w:r>
        <w:rPr>
          <w:b/>
          <w:bCs/>
        </w:rPr>
        <w:t xml:space="preserve">Н26. Российская конференционная индология устроена как культура микрокейса.</w:t>
      </w:r>
      <w:r>
        <w:t xml:space="preserve"> </w:t>
      </w:r>
      <w:r>
        <w:t xml:space="preserve">Это самый сильный результат гумилевской шкалы: из 895 уникальных докладов 852</w:t>
      </w:r>
      <w:r>
        <w:t xml:space="preserve"> </w:t>
      </w:r>
      <w:r>
        <w:t xml:space="preserve">(95.2%) относятся к G1, то есть к уровню отдельного текста, автора, источника,</w:t>
      </w:r>
      <w:r>
        <w:t xml:space="preserve"> </w:t>
      </w:r>
      <w:r>
        <w:t xml:space="preserve">термина или локального сюжета. G2 включает 37 докладов, G3 – только 6. Поэтому</w:t>
      </w:r>
      <w:r>
        <w:t xml:space="preserve"> </w:t>
      </w:r>
      <w:r>
        <w:t xml:space="preserve">микрокейс в данном корпусе не маргинален, а является нормой жанра.</w:t>
      </w:r>
    </w:p>
    <w:p>
      <w:pPr>
        <w:pStyle w:val="BodyText"/>
      </w:pPr>
      <w:r>
        <w:rPr>
          <w:b/>
          <w:bCs/>
        </w:rPr>
        <w:t xml:space="preserve">Н27. «Мостовые» участники не являются макрообобщающими синтетиками.</w:t>
      </w:r>
      <w:r>
        <w:t xml:space="preserve"> </w:t>
      </w:r>
      <w:r>
        <w:t xml:space="preserve">У авторов</w:t>
      </w:r>
      <w:r>
        <w:t xml:space="preserve"> </w:t>
      </w:r>
      <w:r>
        <w:t xml:space="preserve">перекрестной когорты доля G2/G3 составляет лишь 2.3%, тогда как у участников,</w:t>
      </w:r>
      <w:r>
        <w:t xml:space="preserve"> </w:t>
      </w:r>
      <w:r>
        <w:t xml:space="preserve">видимых только на одной площадке, – 6.5%; различие предварительно значимо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0.0037</m:t>
        </m:r>
      </m:oMath>
      <w:r>
        <w:t xml:space="preserve">). Это важный результат: посредники между площадками связывают</w:t>
      </w:r>
      <w:r>
        <w:t xml:space="preserve"> </w:t>
      </w:r>
      <w:r>
        <w:t xml:space="preserve">поле не за счет больших цивилизационных синтезов, а за счет устойчивых частных</w:t>
      </w:r>
      <w:r>
        <w:t xml:space="preserve"> </w:t>
      </w:r>
      <w:r>
        <w:t xml:space="preserve">специализаций.</w:t>
      </w:r>
    </w:p>
    <w:p>
      <w:pPr>
        <w:pStyle w:val="BodyText"/>
      </w:pPr>
      <w:r>
        <w:rPr>
          <w:b/>
          <w:bCs/>
        </w:rPr>
        <w:t xml:space="preserve">Н28. Зографские чтения чуть терпимее к обобщающим докладам, чем Рериховские,</w:t>
      </w:r>
      <w:r>
        <w:rPr>
          <w:b/>
          <w:bCs/>
        </w:rPr>
        <w:t xml:space="preserve"> </w:t>
      </w:r>
      <w:r>
        <w:rPr>
          <w:b/>
          <w:bCs/>
        </w:rPr>
        <w:t xml:space="preserve">но эффект слабый.</w:t>
      </w:r>
      <w:r>
        <w:t xml:space="preserve"> </w:t>
      </w:r>
      <w:r>
        <w:t xml:space="preserve">Доля G2/G3 на Зографе составляет 31 из 540 докладов (5.7%),</w:t>
      </w:r>
      <w:r>
        <w:t xml:space="preserve"> </w:t>
      </w:r>
      <w:r>
        <w:t xml:space="preserve">на Рериховских – 12 из 355 (3.4%); точный тест дает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0.113</m:t>
        </m:r>
      </m:oMath>
      <w:r>
        <w:t xml:space="preserve">. Это</w:t>
      </w:r>
      <w:r>
        <w:t xml:space="preserve"> </w:t>
      </w:r>
      <w:r>
        <w:t xml:space="preserve">направление различия согласуется с образом Зографа как более широкой площадки, но</w:t>
      </w:r>
      <w:r>
        <w:t xml:space="preserve"> </w:t>
      </w:r>
      <w:r>
        <w:t xml:space="preserve">пока не должно трактоваться как доказанный институциональный фильтр.</w:t>
      </w:r>
    </w:p>
    <w:p>
      <w:pPr>
        <w:pStyle w:val="BodyText"/>
      </w:pPr>
      <w:r>
        <w:rPr>
          <w:b/>
          <w:bCs/>
        </w:rPr>
        <w:t xml:space="preserve">Н29. Рост обобщающих докладов не является линейным историческим трендом.</w:t>
      </w:r>
      <w:r>
        <w:t xml:space="preserve"> </w:t>
      </w:r>
      <w:r>
        <w:t xml:space="preserve">Доля</w:t>
      </w:r>
      <w:r>
        <w:t xml:space="preserve"> </w:t>
      </w:r>
      <w:r>
        <w:t xml:space="preserve">G2/G3 по периодам меняется от 2.8% в 2004–2010 гг. до 4.0% в 2011–2017 гг.,</w:t>
      </w:r>
      <w:r>
        <w:t xml:space="preserve"> </w:t>
      </w:r>
      <w:r>
        <w:t xml:space="preserve">5.7% в 2018–2022 гг. и 4.7% в 2023–2026 гг. Есть умеренный всплеск в среднем</w:t>
      </w:r>
      <w:r>
        <w:t xml:space="preserve"> </w:t>
      </w:r>
      <w:r>
        <w:t xml:space="preserve">периоде, но нет устойчивого движения от микрокейсов к макросинтезу.</w:t>
      </w:r>
    </w:p>
    <w:p>
      <w:pPr>
        <w:pStyle w:val="BodyText"/>
      </w:pPr>
      <w:r>
        <w:rPr>
          <w:b/>
          <w:bCs/>
        </w:rPr>
        <w:t xml:space="preserve">Н30. Видеоархив усиливает видимость микрокейсов, а не синтетических докладов.</w:t>
      </w:r>
      <w:r>
        <w:t xml:space="preserve"> </w:t>
      </w:r>
      <w:r>
        <w:t xml:space="preserve">Среди 82 докладов с прямыми видеоссылками 81 относится к G1, один – к G2 и ни</w:t>
      </w:r>
      <w:r>
        <w:t xml:space="preserve"> </w:t>
      </w:r>
      <w:r>
        <w:t xml:space="preserve">один – к G3. Это не доказывает, что синтетические доклады не записываются, но</w:t>
      </w:r>
      <w:r>
        <w:t xml:space="preserve"> </w:t>
      </w:r>
      <w:r>
        <w:t xml:space="preserve">показывает: доступный медиаслой почти полностью микрокейсовый и потому не является</w:t>
      </w:r>
      <w:r>
        <w:t xml:space="preserve"> </w:t>
      </w:r>
      <w:r>
        <w:t xml:space="preserve">хорошим источником для изучения макрообобщающих жанров.</w:t>
      </w:r>
    </w:p>
    <w:p>
      <w:pPr>
        <w:pStyle w:val="BodyText"/>
      </w:pPr>
      <w:r>
        <w:rPr>
          <w:b/>
          <w:bCs/>
        </w:rPr>
        <w:t xml:space="preserve">Н31. G3-доклады образуют редкий жанр программного или цивилизационного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высказывания.</w:t>
      </w:r>
      <w:r>
        <w:t xml:space="preserve"> </w:t>
      </w:r>
      <w:r>
        <w:t xml:space="preserve">В корпусе всего шесть G3-докладов: о моделях христианского и</w:t>
      </w:r>
      <w:r>
        <w:t xml:space="preserve"> </w:t>
      </w:r>
      <w:r>
        <w:t xml:space="preserve">индо-буддийского времени, мифологиях северных мунда, южноазиатско-африканских</w:t>
      </w:r>
      <w:r>
        <w:t xml:space="preserve"> </w:t>
      </w:r>
      <w:r>
        <w:t xml:space="preserve">связях, индийской эпистемической культуре и Западе, «фейковой индологии» и</w:t>
      </w:r>
      <w:r>
        <w:t xml:space="preserve"> </w:t>
      </w:r>
      <w:r>
        <w:t xml:space="preserve">цивилизационной демаркации Восток–Запад. Их следует анализировать качественно</w:t>
      </w:r>
      <w:r>
        <w:t xml:space="preserve"> </w:t>
      </w:r>
      <w:r>
        <w:t xml:space="preserve">как особый жанр «большой рамки», а не как статистически массовое явление.</w:t>
      </w:r>
    </w:p>
    <w:p>
      <w:pPr>
        <w:pStyle w:val="BodyText"/>
      </w:pPr>
      <w:r>
        <w:rPr>
          <w:b/>
          <w:bCs/>
        </w:rPr>
        <w:t xml:space="preserve">Н32. Ядро не производит больше макрообобщений, чем периферия.</w:t>
      </w:r>
      <w:r>
        <w:t xml:space="preserve"> </w:t>
      </w:r>
      <w:r>
        <w:t xml:space="preserve">У докладов,</w:t>
      </w:r>
      <w:r>
        <w:t xml:space="preserve"> </w:t>
      </w:r>
      <w:r>
        <w:t xml:space="preserve">связанных с авторами ядра, G2/G3 составляет 28 из 653 (4.3%), у периферии – 15</w:t>
      </w:r>
      <w:r>
        <w:t xml:space="preserve"> </w:t>
      </w:r>
      <w:r>
        <w:t xml:space="preserve">из 242 (6.2%);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0.290</m:t>
        </m:r>
      </m:oMath>
      <w:r>
        <w:t xml:space="preserve">). Это не поддерживает</w:t>
      </w:r>
      <w:r>
        <w:t xml:space="preserve"> </w:t>
      </w:r>
      <w:r>
        <w:t xml:space="preserve">интуицию, что накопленный статус автоматически ведет к более широкому масштабу</w:t>
      </w:r>
      <w:r>
        <w:t xml:space="preserve"> </w:t>
      </w:r>
      <w:r>
        <w:t xml:space="preserve">обобщения.</w:t>
      </w:r>
    </w:p>
    <w:p>
      <w:pPr>
        <w:pStyle w:val="BodyText"/>
      </w:pPr>
      <w:r>
        <w:rPr>
          <w:b/>
          <w:bCs/>
        </w:rPr>
        <w:t xml:space="preserve">Н33. Дебютанты не входят через более узкие темы, чем повторные участники.</w:t>
      </w:r>
      <w:r>
        <w:t xml:space="preserve"> </w:t>
      </w:r>
      <w:r>
        <w:t xml:space="preserve">Среди</w:t>
      </w:r>
      <w:r>
        <w:t xml:space="preserve"> </w:t>
      </w:r>
      <w:r>
        <w:t xml:space="preserve">дебютных докладов G2/G3 составляет 10 из 174 (5.7%), среди повторных – 33 из 721</w:t>
      </w:r>
      <w:r>
        <w:t xml:space="preserve"> </w:t>
      </w:r>
      <w:r>
        <w:t xml:space="preserve">(4.6%);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0.553</m:t>
        </m:r>
      </m:oMath>
      <w:r>
        <w:t xml:space="preserve">). Следовательно, микрокейсовость не</w:t>
      </w:r>
      <w:r>
        <w:t xml:space="preserve"> </w:t>
      </w:r>
      <w:r>
        <w:t xml:space="preserve">является особым входным барьером для новичков: она задает общий стиль поля.</w:t>
      </w:r>
    </w:p>
    <w:p>
      <w:pPr>
        <w:pStyle w:val="BodyText"/>
      </w:pPr>
      <w:r>
        <w:rPr>
          <w:b/>
          <w:bCs/>
        </w:rPr>
        <w:t xml:space="preserve">Н34. Дисциплины различаются по допустимому масштабу обобщения.</w:t>
      </w:r>
      <w:r>
        <w:t xml:space="preserve"> </w:t>
      </w:r>
      <w:r>
        <w:t xml:space="preserve">На текущей</w:t>
      </w:r>
      <w:r>
        <w:t xml:space="preserve"> </w:t>
      </w:r>
      <w:r>
        <w:t xml:space="preserve">крупной тематической сетке лингвистика/филология почти полностью микрокейсова</w:t>
      </w:r>
      <w:r>
        <w:t xml:space="preserve"> </w:t>
      </w:r>
      <w:r>
        <w:t xml:space="preserve">(G1 – 124 из 125 докладов), тогда как история культуры и неклассифицированные</w:t>
      </w:r>
      <w:r>
        <w:t xml:space="preserve"> </w:t>
      </w:r>
      <w:r>
        <w:t xml:space="preserve">междисциплинарные сюжеты чаще дают G2. Литература содержит три из шести G3-докладов.</w:t>
      </w:r>
      <w:r>
        <w:t xml:space="preserve"> </w:t>
      </w:r>
      <w:r>
        <w:t xml:space="preserve">Эта гипотеза требует дальнейшей проверки на более детальных подрубриках, но уже</w:t>
      </w:r>
      <w:r>
        <w:t xml:space="preserve"> </w:t>
      </w:r>
      <w:r>
        <w:t xml:space="preserve">показывает, что масштаб обобщения зависит от дисциплинарного жанра.</w:t>
      </w:r>
    </w:p>
    <w:p>
      <w:pPr>
        <w:pStyle w:val="BodyText"/>
      </w:pPr>
      <w:r>
        <w:rPr>
          <w:b/>
          <w:bCs/>
        </w:rPr>
        <w:t xml:space="preserve">Н35. Обобщающие доклады допускаются прежде всего как голос старшего поколения,</w:t>
      </w:r>
      <w:r>
        <w:rPr>
          <w:b/>
          <w:bCs/>
        </w:rPr>
        <w:t xml:space="preserve"> </w:t>
      </w:r>
      <w:r>
        <w:rPr>
          <w:b/>
          <w:bCs/>
        </w:rPr>
        <w:t xml:space="preserve">особенно на уровне G3.</w:t>
      </w:r>
      <w:r>
        <w:t xml:space="preserve"> </w:t>
      </w:r>
      <w:r>
        <w:t xml:space="preserve">Для всех G2/G3 вместе возрастной эффект умеренный: медиана</w:t>
      </w:r>
      <w:r>
        <w:t xml:space="preserve"> </w:t>
      </w:r>
      <w:r>
        <w:t xml:space="preserve">возраста авторского участия составляет 50 лет против 45 лет у G1, а тест Манна–Уитни</w:t>
      </w:r>
      <w:r>
        <w:t xml:space="preserve"> </w:t>
      </w:r>
      <w:r>
        <w:t xml:space="preserve">дает лишь тенденцию (</w:t>
      </w:r>
      <m:oMath>
        <m:r>
          <m:t>p</m:t>
        </m:r>
        <m:r>
          <m:rPr>
            <m:sty m:val="p"/>
          </m:rPr>
          <m:t>≈</m:t>
        </m:r>
        <m:r>
          <m:t>0.066</m:t>
        </m:r>
      </m:oMath>
      <w:r>
        <w:t xml:space="preserve">). Но для редкого уровня G3 картина сильнее:</w:t>
      </w:r>
      <w:r>
        <w:t xml:space="preserve"> </w:t>
      </w:r>
      <w:r>
        <w:t xml:space="preserve">медианный возраст автора – 66 лет, 4 из 6 G3-докладов сделаны участниками старше</w:t>
      </w:r>
      <w:r>
        <w:t xml:space="preserve"> </w:t>
      </w:r>
      <w:r>
        <w:t xml:space="preserve">60 лет. Поэтому гипотеза формулируется так: широкое цивилизационное обобщение не</w:t>
      </w:r>
      <w:r>
        <w:t xml:space="preserve"> </w:t>
      </w:r>
      <w:r>
        <w:t xml:space="preserve">запрещено полностью, но в наблюдаемом корпусе оно появляется главным образом как</w:t>
      </w:r>
      <w:r>
        <w:t xml:space="preserve"> </w:t>
      </w:r>
      <w:r>
        <w:t xml:space="preserve">жанр признанного старшего или уже авторитетного голоса, тогда как базовой нормой</w:t>
      </w:r>
      <w:r>
        <w:t xml:space="preserve"> </w:t>
      </w:r>
      <w:r>
        <w:t xml:space="preserve">для поля остается микрокейс.</w:t>
      </w:r>
    </w:p>
    <w:p>
      <w:pPr>
        <w:pStyle w:val="BodyText"/>
      </w:pPr>
      <w:r>
        <w:t xml:space="preserve">Таким образом, Н11–Н35 расширяют основную аргументацию статьи в сторону критики</w:t>
      </w:r>
      <w:r>
        <w:t xml:space="preserve"> </w:t>
      </w:r>
      <w:r>
        <w:t xml:space="preserve">источника и жанра. Они показывают, что корпус содержит не только данные о людях и</w:t>
      </w:r>
      <w:r>
        <w:t xml:space="preserve"> </w:t>
      </w:r>
      <w:r>
        <w:t xml:space="preserve">темах, но и следы разных режимов публичной репрезентации: программы по-разному</w:t>
      </w:r>
      <w:r>
        <w:t xml:space="preserve"> </w:t>
      </w:r>
      <w:r>
        <w:t xml:space="preserve">показывают аффилиации, видеозаписи неравномерно распределяют видимость, микрокейсы</w:t>
      </w:r>
      <w:r>
        <w:t xml:space="preserve"> </w:t>
      </w:r>
      <w:r>
        <w:t xml:space="preserve">являются нормативным форматом доклада, а редкие обобщения чаще связаны с особым</w:t>
      </w:r>
      <w:r>
        <w:t xml:space="preserve"> </w:t>
      </w:r>
      <w:r>
        <w:t xml:space="preserve">статусом, дисциплиной и поколенческой позицией автора.</w:t>
      </w:r>
    </w:p>
    <w:bookmarkEnd w:id="61"/>
    <w:bookmarkEnd w:id="62"/>
    <w:bookmarkStart w:id="63" w:name="заключение"/>
    <w:p>
      <w:pPr>
        <w:pStyle w:val="Heading2"/>
      </w:pPr>
      <w:r>
        <w:t xml:space="preserve">11.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двадцати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пока не показывает статистически значимого изменения кадровой или тематической политики.</w:t>
      </w:r>
      <w:r>
        <w:t xml:space="preserve"> </w:t>
      </w:r>
      <w:r>
        <w:t xml:space="preserve">Приток новых авторов (</w:t>
      </w:r>
      <m:oMath>
        <m:r>
          <m:t>p</m:t>
        </m:r>
        <m:r>
          <m:rPr>
            <m:sty m:val="p"/>
          </m:rPr>
          <m:t>=</m:t>
        </m:r>
        <m:r>
          <m:t>0.7603</m:t>
        </m:r>
      </m:oMath>
      <w:r>
        <w:t xml:space="preserve">),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0.8463</m:t>
        </m:r>
      </m:oMath>
      <w:r>
        <w:t xml:space="preserve">) и распределение периодов L2 (</w:t>
      </w:r>
      <m:oMath>
        <m:r>
          <m:t>p</m:t>
        </m:r>
        <m:r>
          <m:rPr>
            <m:sty m:val="p"/>
          </m:rPr>
          <m:t>=</m:t>
        </m:r>
        <m:r>
          <m:t>0.2619</m:t>
        </m:r>
      </m:oMath>
      <w:r>
        <w:t xml:space="preserve">) значимых изменений не претерпели. Описательное снижение доли классического периода с 37.6% до 26.3% требует наблюдения на следующих программах, поскольку текущий переходный срез слишком короток.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низка; при этом относительная доля у периферии выше, чем у ядра (5.7% против 2.6%,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0.0153</m:t>
        </m:r>
      </m:oMath>
      <w:r>
        <w:t xml:space="preserve">), что опровергает сильную версию гипотезы о большей склонности ядра к дроблению тем.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0.276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«Город вместо учреждения» является прежде всего источниковедческим эффектом.</w:t>
      </w:r>
      <w:r>
        <w:t xml:space="preserve"> </w:t>
      </w:r>
      <w:r>
        <w:t xml:space="preserve">Различие между Зографскими и Рериховскими чтениями по доле записей только с городом слишком велико и устойчиво, чтобы читать его как прямое свидетельство биографической внеинституциональности участников. Оно отражает разные стандарты публикации программ.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внеуниверситетском характере периферии требует отдельной проверки.</w:t>
      </w:r>
      <w:r>
        <w:t xml:space="preserve"> </w:t>
      </w:r>
      <w:r>
        <w:t xml:space="preserve">Корпус подтверждает более низкую возвращаемость региональных участников, но не позволяет автоматически установить тип их занятости. Поэтому тезис о периферийных неуниверситетских траекториях должен проверяться через authority-слой; Пенза выступает здесь не доказательством, а важным контрольным случаем.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YouTube-слой расширяет публичную проверяемость, но вносит смещение видимости.</w:t>
      </w:r>
      <w:r>
        <w:t xml:space="preserve"> </w:t>
      </w:r>
      <w:r>
        <w:t xml:space="preserve">178 собранных видеозаписей и 82 напрямую привязанных к базе доклада полезны для проверки отдельных случаев, однако их распределение по годам, площадкам и темам не репрезентативно для всего корпуса.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Шкала Гумилева показывает преобладание микрокейсового уровня.</w:t>
      </w:r>
      <w:r>
        <w:t xml:space="preserve"> </w:t>
      </w:r>
      <w:r>
        <w:t xml:space="preserve">Из 895 уникальных докладов 852 отнесены к уровню конкретного текста, автора, источника или локального сюжета; только 37 выходят на региональный уровень и 6 – на широкий сравнительный или методологический уровень. Это подтверждает текстоцентричный и кейсоцентричный характер поля.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Сопоставление заголовков с видеоконтекстом задает границу автоматической классификации.</w:t>
      </w:r>
      <w:r>
        <w:t xml:space="preserve"> </w:t>
      </w:r>
      <w:r>
        <w:t xml:space="preserve">В 76 из 89 сопоставленных видеослучаев уровень обобщения совпадает, но 13 расхождений показывают, что навигационная разметка не должна подменять ручную экспертную интерпретацию спорных докладов.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Онлайн-эпизод 2020 г. не создал отдельной устойчивой когорты.</w:t>
      </w:r>
      <w:r>
        <w:t xml:space="preserve"> </w:t>
      </w:r>
      <w:r>
        <w:t xml:space="preserve">Возвращаемость дебютантов 2020 г. не выше, чем у соседних лет; это поддерживает вывод о том, что долговременное включение в поле определяется не только технической доступностью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Ядро и перекрестная когорта не являются автоматическими носителями макрообобщения.</w:t>
      </w:r>
      <w:r>
        <w:t xml:space="preserve"> </w:t>
      </w:r>
      <w:r>
        <w:t xml:space="preserve">Наоборот, перекрестные участники чаще удерживают частные специализации, а доля G2/G3 у них ниже, чем у одноплощадочных участников. Мостовая функция поля обеспечивается не большими синтезами, а устойчивостью личных исследовательских траекторий.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Гумилевская шкала задает отдельную ось анализа, не сводимую к тематическим кодам.</w:t>
      </w:r>
      <w:r>
        <w:t xml:space="preserve"> </w:t>
      </w:r>
      <w:r>
        <w:t xml:space="preserve">Она показывает не «о чем» доклад, а на каком масштабе он говорит: микрокейс, региональная традиция или широкое сравнение. В этом смысле она выявляет жанровую норму поля лучше, чем обычная дисциплинарная рубрика.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Широкое обобщение остается редким и поколенчески маркированным жанром.</w:t>
      </w:r>
      <w:r>
        <w:t xml:space="preserve"> </w:t>
      </w:r>
      <w:r>
        <w:t xml:space="preserve">G3 почти не встречается и чаще принадлежит старшим или уже авторитетным участникам. Поэтому микрокейс не просто допустим, а фактически приветствуется как нормальный формат выступления, тогда как большое обобщение оказывается исключительным правом особого голоса.</w:t>
      </w:r>
    </w:p>
    <w:p>
      <w:pPr>
        <w:pStyle w:val="FirstParagraph"/>
      </w:pPr>
      <w:r>
        <w:t xml:space="preserve">Демографически обе площадки демонстрируют не простое монотонное старение, а более</w:t>
      </w:r>
      <w:r>
        <w:t xml:space="preserve"> </w:t>
      </w:r>
      <w:r>
        <w:t xml:space="preserve">сложную задачу воспроизводства состава. Сплошная биографическая верификация показывает,</w:t>
      </w:r>
      <w:r>
        <w:t xml:space="preserve"> </w:t>
      </w:r>
      <w:r>
        <w:t xml:space="preserve">что возраст первого наблюдаемого выступления снижается по сравнению с ранним периодом,</w:t>
      </w:r>
      <w:r>
        <w:t xml:space="preserve"> </w:t>
      </w:r>
      <w:r>
        <w:t xml:space="preserve">а в 2025 г. обе площадки сходятся на медианном возрасте участников 47.5 лет. Поэтому</w:t>
      </w:r>
      <w:r>
        <w:t xml:space="preserve"> </w:t>
      </w:r>
      <w:r>
        <w:t xml:space="preserve">главное напряжение состоит не в механическом отсутствии молодых кадров, а в том, что</w:t>
      </w:r>
      <w:r>
        <w:t xml:space="preserve"> </w:t>
      </w:r>
      <w:r>
        <w:t xml:space="preserve">новые участники и региональная периферия слабее закрепляются в устойчивой когорте.</w:t>
      </w:r>
      <w:r>
        <w:t xml:space="preserve"> </w:t>
      </w:r>
      <w:r>
        <w:t xml:space="preserve">В обозримой перспективе обе сегодняшние модели институционализации (плотное ядро</w:t>
      </w:r>
      <w:r>
        <w:t xml:space="preserve"> </w:t>
      </w:r>
      <w:r>
        <w:t xml:space="preserve">ИВ РАН в Москве и более диффузная межинституциональная сеть в Петербурге) будут</w:t>
      </w:r>
      <w:r>
        <w:t xml:space="preserve"> </w:t>
      </w:r>
      <w:r>
        <w:t xml:space="preserve">испытаны на прочность задачей привлечения и удержания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индивидуальный стиль, а не массовая стратегия (Н10).</w:t>
      </w:r>
      <w:r>
        <w:t xml:space="preserve"> </w:t>
      </w:r>
      <w:r>
        <w:t xml:space="preserve">Проверка показала низкую общую долю сериализованных докладов и не поддержала версию о повышенной склонности ядра к дроблению тем: относительная доля сериализации выше у периферии, тогда как абсолютное число таких случаев слабо связано с общим объемом выступлений автора. Поэтому этот признак не следует трактовать как доминирующий механизм закрытости сообщества; скорее он указывает на отдельные долговременные исследовательские траектории, где авторы годами разворачивают один узкий сюжет.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Смена оргкомитета как отрицательный контроль (Н8).</w:t>
      </w:r>
      <w:r>
        <w:t xml:space="preserve"> </w:t>
      </w:r>
      <w:r>
        <w:t xml:space="preserve">После пересчета смена руководства оргкомитета не показывает статистически значимого изменения притока новичков, дисциплинарного профиля L1 или распределения периодов L2. Поэтому этот сюжет лучше использовать как визуализацию осторожного вывода: административная смена заметна в описании программ, но текущие числа не доказывают ни кадрового обновления, ни тематического перелома.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напряжение как задача воспроизводства.</w:t>
      </w:r>
      <w:r>
        <w:t xml:space="preserve"> </w:t>
      </w:r>
      <w:r>
        <w:t xml:space="preserve">Сплошная биографическая верификация не подтверждает прежний образ резкого старения корпуса: в 2025 г. обе площадки сходятся на медианном возрасте 47.5 лет, а возраст дебюта снижается по сравнению с ранним периодом. Напряжение состоит не в простом отсутствии молодых кадров, а в том, что новые участники и региональная периферия слабее удерживаются в устойчивой когорте; поэтому борьба за символические ресурсы (статус «профильного индолога», право отбора, экспертная монополия) остается связанной с задачей воспроизводства ядра.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63"/>
    <w:bookmarkStart w:id="64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4"/>
    <w:bookmarkStart w:id="65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5"/>
    <w:bookmarkStart w:id="66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6"/>
    <w:bookmarkStart w:id="67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7"/>
    <w:bookmarkStart w:id="72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8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8"/>
    <w:bookmarkStart w:id="69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9"/>
    <w:bookmarkStart w:id="70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70"/>
    <w:bookmarkStart w:id="71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71"/>
    <w:bookmarkEnd w:id="72"/>
    <w:bookmarkStart w:id="84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6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3062"/>
            <wp:effectExtent b="0" l="0" r="0" t="0"/>
            <wp:docPr descr="Рис. Г1. Нулевое распределение числа учёных на обеих площадках" title="" id="74" name="Picture"/>
            <a:graphic>
              <a:graphicData uri="http://schemas.openxmlformats.org/drawingml/2006/picture">
                <pic:pic>
                  <pic:nvPicPr>
                    <pic:cNvPr descr="hypothesis_output/null_model_overl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6"/>
    <w:bookmarkStart w:id="77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7"/>
    <w:bookmarkStart w:id="81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9" name="Picture"/>
            <a:graphic>
              <a:graphicData uri="http://schemas.openxmlformats.org/drawingml/2006/picture">
                <pic:pic>
                  <pic:nvPicPr>
                    <pic:cNvPr descr="hypothesis_output/km_reten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81"/>
    <w:bookmarkStart w:id="82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82"/>
    <w:bookmarkStart w:id="83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55" Target="media/rId55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2026-06-02T15:54:01Z</dcterms:created>
  <dcterms:modified xsi:type="dcterms:W3CDTF">2026-06-02T15:54:01Z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