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17.png" ContentType="image/png"/>
  <Override PartName="/word/media/rId44.png" ContentType="image/png"/>
  <Override PartName="/word/media/rId40.png" ContentType="image/png"/>
  <Override PartName="/word/media/rId75.png" ContentType="image/png"/>
  <Override PartName="/word/media/rId55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УДК 061.3:001.32(470:540)</w:t>
      </w:r>
    </w:p>
    <w:bookmarkStart w:id="82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FirstParagraph"/>
      </w:pPr>
      <w:r>
        <w:rPr>
          <w:b/>
          <w:bCs/>
        </w:rPr>
        <w:t xml:space="preserve">М. Ю. Гасунс</w:t>
      </w:r>
      <w:r>
        <w:t xml:space="preserve"> </w:t>
      </w:r>
      <w:r>
        <w:t xml:space="preserve">— независимый исследователь, Москва, Россия.</w:t>
      </w:r>
      <w:r>
        <w:t xml:space="preserve"> </w:t>
      </w:r>
      <w:r>
        <w:t xml:space="preserve">E-mail: gasyoun@gmail.com. ORCID: ___________________</w:t>
      </w:r>
      <w:r>
        <w:t xml:space="preserve"> </w:t>
      </w:r>
      <w:r>
        <w:rPr>
          <w:i/>
          <w:iCs/>
        </w:rPr>
        <w:t xml:space="preserve">(заполнить перед подачей)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M. Yu. Gasūns</w:t>
      </w:r>
      <w:r>
        <w:t xml:space="preserve"> </w:t>
      </w:r>
      <w:r>
        <w:t xml:space="preserve">— independent researcher, Moscow, Russia.</w:t>
      </w:r>
    </w:p>
    <w:p>
      <w:pPr>
        <w:pStyle w:val="BlockText"/>
      </w:pPr>
      <w:r>
        <w:t xml:space="preserve">Рабочий драфт для ППВ. Версия 0.7, 2026-05-24.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рисунков; в версии 0.7</w:t>
      </w:r>
      <w:r>
        <w:t xml:space="preserve"> </w:t>
      </w:r>
      <w:r>
        <w:t xml:space="preserve">синхронизированы базовые числа статьи с сайтом и текущей БД, а также формализованы</w:t>
      </w:r>
      <w:r>
        <w:t xml:space="preserve"> </w:t>
      </w:r>
      <w:r>
        <w:t xml:space="preserve">дополнительные гипотезы Н11–Н15.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220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(31.9% против 24.0% в Зографе; без предварительной программы 2026 г. —</w:t>
      </w:r>
      <w:r>
        <w:t xml:space="preserve"> </w:t>
      </w:r>
      <w:r>
        <w:t xml:space="preserve">25.7%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220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(31.9% vs 24.0%; 25.7%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220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220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хотя в архивной базе полностью восстановлены биографические годы рождения для всех 220 уникальных участников (что устраняет селективные смещения выборки, см. раздел 7), мы по-прежнему ограничены источниковедческими факторами.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21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220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зафиксировано 167 ученых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91 ученый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220 ученых</w:t>
      </w:r>
      <w:r>
        <w:t xml:space="preserve"> </w:t>
      </w:r>
      <w:r>
        <w:rPr>
          <w:b/>
          <w:bCs/>
        </w:rPr>
        <w:t xml:space="preserve">38 (17.3%)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38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20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p>
      <w:pPr>
        <w:pStyle w:val="CaptionedFigure"/>
      </w:pPr>
      <w:r>
        <w:drawing>
          <wp:inline>
            <wp:extent cx="5334000" cy="3617976"/>
            <wp:effectExtent b="0" l="0" r="0" t="0"/>
            <wp:docPr descr="Рис. 1. Обновление состава: новички, ретроспективное ядро и повторные участники" title="" id="18" name="Picture"/>
            <a:graphic>
              <a:graphicData uri="http://schemas.openxmlformats.org/drawingml/2006/picture">
                <pic:pic>
                  <pic:nvPicPr>
                    <pic:cNvPr descr="figures/participant_dynamic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20"/>
    <w:bookmarkEnd w:id="21"/>
    <w:bookmarkStart w:id="27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22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22"/>
    <w:bookmarkStart w:id="23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148 уникальных ученых и 484 авторских участия; доля ядра</w:t>
      </w:r>
      <w:r>
        <w:t xml:space="preserve"> </w:t>
      </w:r>
      <w:r>
        <w:t xml:space="preserve">составляет 25.7%, доля разовых участников — 39.9%, удержание дебютантов — 60.1%,</w:t>
      </w:r>
      <w:r>
        <w:t xml:space="preserve"> </w:t>
      </w:r>
      <w:r>
        <w:t xml:space="preserve">индекс Джини — 0.444.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3"/>
    <w:bookmarkStart w:id="24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(91 против 167),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(31.9% участников выступали пять и более раз</w:t>
      </w:r>
      <w:r>
        <w:t xml:space="preserve"> </w:t>
      </w:r>
      <w:r>
        <w:t xml:space="preserve">против 24.0% в Зографе во всем корпусе; при отсечении 2026 г. — 31.9% против</w:t>
      </w:r>
      <w:r>
        <w:t xml:space="preserve"> </w:t>
      </w:r>
      <w:r>
        <w:t xml:space="preserve">25.7%);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(61.5% против 56.3% во всем корпусе;</w:t>
      </w:r>
      <w:r>
        <w:t xml:space="preserve"> </w:t>
      </w:r>
      <w:r>
        <w:t xml:space="preserve">при отсечении 2026 г. — 61.5% против 60.1%):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(38.5% против 43.7%).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(29/91 против 40/167) и по доле разовых участников (35/91 против 73/167)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(0.470 и 0.461),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(167 ученых),</w:t>
      </w:r>
      <w:r>
        <w:t xml:space="preserve"> </w:t>
      </w:r>
      <w:r>
        <w:t xml:space="preserve">а в Рериховских — внутри гораздо более компактной группы (91 ученый).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56.3% в Зографе и 61.5%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4"/>
    <w:bookmarkStart w:id="25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5"/>
    <w:bookmarkStart w:id="26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2.2% (14 докладов из 647).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4.0% (10 докладов из 252).</w:t>
      </w:r>
      <w:r>
        <w:t xml:space="preserve"> </w:t>
      </w:r>
      <w:r>
        <w:t xml:space="preserve">* Применение точного критерия Фишера указывает на отсутствие статистически значимых различий в частоте использования сериализации между этими группами участников (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0.223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6"/>
    <w:bookmarkEnd w:id="27"/>
    <w:bookmarkStart w:id="33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8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8"/>
    <w:bookmarkStart w:id="29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9"/>
    <w:bookmarkStart w:id="30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30"/>
    <w:bookmarkStart w:id="31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31"/>
    <w:bookmarkStart w:id="32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32"/>
    <w:bookmarkEnd w:id="33"/>
    <w:bookmarkStart w:id="36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38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4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4"/>
    <w:bookmarkStart w:id="35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5"/>
    <w:bookmarkEnd w:id="36"/>
    <w:bookmarkStart w:id="43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всех 220 уникальных ученых в нашей базе полностью установлен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 вычислить медианный возраст участников каждой конференции в год ее проведения на сплошном массиве данных, полностью исключив селективное смещение выборки.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</w:tr>
    </w:tbl>
    <w:p>
      <w:pPr>
        <w:pStyle w:val="BodyText"/>
      </w:pPr>
      <w:r>
        <w:t xml:space="preserve">Анализ сплошных биографических данных выявил принципиально иную картину, опровергающую прежние выводы, основанные на частичных выборках (где медиана 2025 г. завышалась до 55 и 53 лет). В сопоставимой точке 2012–2025 гг. медианный возраст на Зографских чтениях вырос всего лишь с 43.0 до 47.5 лет, а на Рериховских — с 46.5 до 47.5 лет. Это свидетельствует о высокой устойчивости отечественной индологии к старению и о постоянном, но скрытом ранее притоке молодых исследователей. Искусственный «эффект старения» в неполных данных объяснялся систематическим отсутствием сведений о годах рождения молодых и эпизодических участников (периферии когорты) в общедоступных академических справочниках.</w:t>
      </w:r>
    </w:p>
    <w:p>
      <w:pPr>
        <w:pStyle w:val="BodyText"/>
      </w:pPr>
      <w:r>
        <w:t xml:space="preserve">Демографически обе площадки в 2025 г. выровнялись на медиане в 47.5 лет. Это подтверждает, что несмотря на старение исторического ядра (см. § 4), периферия и регулярные новые дебютанты успешно компенсируют демографические потери.</w:t>
      </w:r>
    </w:p>
    <w:p>
      <w:pPr>
        <w:pStyle w:val="CaptionedFigure"/>
      </w:pPr>
      <w:r>
        <w:drawing>
          <wp:inline>
            <wp:extent cx="5334000" cy="3225024"/>
            <wp:effectExtent b="0" l="0" r="0" t="0"/>
            <wp:docPr descr="Рис. 2. Покрытие годом рождения является полным по всем частотным группам" title="" id="38" name="Picture"/>
            <a:graphic>
              <a:graphicData uri="http://schemas.openxmlformats.org/drawingml/2006/picture">
                <pic:pic>
                  <pic:nvPicPr>
                    <pic:cNvPr descr="figures/birth_year_covera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Покрытие годом рождения является полным по всем частотным группам</w:t>
      </w:r>
    </w:p>
    <w:p>
      <w:pPr>
        <w:pStyle w:val="BodyText"/>
      </w:pPr>
      <w:r>
        <w:t xml:space="preserve">Сплошная архивная верификация позволила снять прежние методические ограничения: Рис. 2 теперь демонстрирует 100% покрытие годом рождения по всем частотным когортам участников. Любые возрастные обобщения теперь описывают не только устойчивое ядро конференций, но и всю периферийную когорту в равной степени.</w:t>
      </w:r>
    </w:p>
    <w:p>
      <w:pPr>
        <w:pStyle w:val="CaptionedFigure"/>
      </w:pPr>
      <w:r>
        <w:drawing>
          <wp:inline>
            <wp:extent cx="5334000" cy="3264505"/>
            <wp:effectExtent b="0" l="0" r="0" t="0"/>
            <wp:docPr descr="Рис. 3. Возраст первого наблюдаемого выступления в корпусе" title="" id="41" name="Picture"/>
            <a:graphic>
              <a:graphicData uri="http://schemas.openxmlformats.org/drawingml/2006/picture">
                <pic:pic>
                  <pic:nvPicPr>
                    <pic:cNvPr descr="hypothesis_output/age_at_debu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Анализ возраста первого наблюдаемого выступления в корпусе (Рис. 3) теперь охватывает всех 220 ученых. Медиана возраста дебюта статистически значимо снижается по трем периодам: с 47.0 лет в 2004–2010 гг. до 36.0 лет в 2011–2017 гг. и сохраняется на уровне 36.0 лет в 2018–2026 гг. Этот нисходящий тренд является статистически достоверным: корреляция Спирмена между годом дебюта и возрастом дебюта равна $</w:t>
      </w:r>
      <w:r>
        <w:t xml:space="preserve"> </w:t>
      </w:r>
      <w:r>
        <w:t xml:space="preserve">ho = -0.19$ (</w:t>
      </w:r>
      <m:oMath>
        <m:r>
          <m:t>p</m:t>
        </m:r>
        <m:r>
          <m:rPr>
            <m:sty m:val="p"/>
          </m:rPr>
          <m:t>=</m:t>
        </m:r>
        <m:r>
          <m:t>0.0048</m:t>
        </m:r>
      </m:oMath>
      <w:r>
        <w:t xml:space="preserve">), а сравнение трех периодов по критерию Краскела-Уоллиса подтверждает значимость различий (</w:t>
      </w:r>
      <m:oMath>
        <m:r>
          <m:t>H</m:t>
        </m:r>
        <m:r>
          <m:rPr>
            <m:sty m:val="p"/>
          </m:rPr>
          <m:t>=</m:t>
        </m:r>
        <m:r>
          <m:t>7.836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0.0199</m:t>
        </m:r>
      </m:oMath>
      <w:r>
        <w:t xml:space="preserve">). Таким образом, гипотеза о постепенном омоложении входа новых участников полностью подтверждается на репрезентативном массиве данных.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43"/>
    <w:bookmarkStart w:id="51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p>
      <w:pPr>
        <w:pStyle w:val="CaptionedFigure"/>
      </w:pPr>
      <w:r>
        <w:drawing>
          <wp:inline>
            <wp:extent cx="5334000" cy="3299381"/>
            <wp:effectExtent b="0" l="0" r="0" t="0"/>
            <wp:docPr descr="Рис. 4. Тематическая матрица L1 × L2" title="" id="45" name="Picture"/>
            <a:graphic>
              <a:graphicData uri="http://schemas.openxmlformats.org/drawingml/2006/picture">
                <pic:pic>
                  <pic:nvPicPr>
                    <pic:cNvPr descr="figures/theme_heatmap_l1_l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47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47"/>
    <w:bookmarkStart w:id="48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48"/>
    <w:bookmarkStart w:id="49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49"/>
    <w:bookmarkStart w:id="50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32.9% (141 дебютант из 428 уникальных докладо-лет), а в эру Альбедиль — Иванова снизилась до 25.9% (30 из 116).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). Соотношение между доминирующими филологическими и историко-культурологическими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В отличие от дисциплин, распределение докладов по исследуемым эпохам претерпело статистически значимые изменения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). Наблюдается заметное падение доли докладов по классическим периодам индийской истории и культуры (с 36.2% в эру Василькова до 26.3% в эру Альбедиль — Иванова) на фоне двукратного роста доли докладов с неопределенной или неуказанной хронологической привязкой (с 8.2% до 16.7%).</w:t>
      </w:r>
    </w:p>
    <w:p>
      <w:pPr>
        <w:pStyle w:val="BodyText"/>
      </w:pPr>
      <w:r>
        <w:t xml:space="preserve">Таким образом, смена руководства конференцией не привела к радикальной смене кадровой политики или дисциплинарного фокуса, однако повлекла за собой регистрируемый тематический сдвиг — уход от строгой классической исторической хронологии в сторону более широких культурных и метатеоретических обобщений.</w:t>
      </w:r>
    </w:p>
    <w:bookmarkEnd w:id="50"/>
    <w:bookmarkEnd w:id="51"/>
    <w:bookmarkStart w:id="58" w:name="Xc60779975e94db07f94e97b7d5ebf15fef534e2"/>
    <w:p>
      <w:pPr>
        <w:pStyle w:val="Heading2"/>
      </w:pPr>
      <w:r>
        <w:t xml:space="preserve">9. Перекрестная когорта: 38 ученых российской индологии</w:t>
      </w:r>
    </w:p>
    <w:p>
      <w:pPr>
        <w:pStyle w:val="FirstParagraph"/>
      </w:pPr>
      <w:r>
        <w:t xml:space="preserve">Из 220 ученых нашей базы</w:t>
      </w:r>
      <w:r>
        <w:t xml:space="preserve"> </w:t>
      </w:r>
      <w:r>
        <w:rPr>
          <w:b/>
          <w:bCs/>
        </w:rPr>
        <w:t xml:space="preserve">38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p>
      <w:pPr>
        <w:pStyle w:val="CaptionedFigure"/>
      </w:pPr>
      <w:r>
        <w:drawing>
          <wp:inline>
            <wp:extent cx="5334000" cy="3808009"/>
            <wp:effectExtent b="0" l="0" r="0" t="0"/>
            <wp:docPr descr="Рис. 5. Перекрестная когорта: баланс участия на двух площадках" title="" id="53" name="Picture"/>
            <a:graphic>
              <a:graphicData uri="http://schemas.openxmlformats.org/drawingml/2006/picture">
                <pic:pic>
                  <pic:nvPicPr>
                    <pic:cNvPr descr="figures/cross_cohort_bala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38 ученых приведен в приложении А.</w:t>
      </w:r>
    </w:p>
    <w:p>
      <w:pPr>
        <w:pStyle w:val="CaptionedFigure"/>
      </w:pPr>
      <w:r>
        <w:drawing>
          <wp:inline>
            <wp:extent cx="5334000" cy="3305577"/>
            <wp:effectExtent b="0" l="0" r="0" t="0"/>
            <wp:docPr descr="Рис. 6. Сессионная центральность участников по совместным сессиям" title="" id="56" name="Picture"/>
            <a:graphic>
              <a:graphicData uri="http://schemas.openxmlformats.org/drawingml/2006/picture">
                <pic:pic>
                  <pic:nvPicPr>
                    <pic:cNvPr descr="hypothesis_output/network_bridges_ses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58"/>
    <w:bookmarkStart w:id="59" w:name="X4f170e5e280334d08f9d70bdc0189b7a99d7fa7"/>
    <w:p>
      <w:pPr>
        <w:pStyle w:val="Heading2"/>
      </w:pPr>
      <w:r>
        <w:t xml:space="preserve">10. Дополнительные гипотезы: источники, видео и масштаб обобщения</w:t>
      </w:r>
    </w:p>
    <w:p>
      <w:pPr>
        <w:pStyle w:val="FirstParagraph"/>
      </w:pPr>
      <w:r>
        <w:t xml:space="preserve">После основной проверки Н1–Н10 корпус позволяет поставить еще пять гипотез,</w:t>
      </w:r>
      <w:r>
        <w:t xml:space="preserve"> </w:t>
      </w:r>
      <w:r>
        <w:t xml:space="preserve">связанных не столько с численностью площадок, сколько с устройством источниковой</w:t>
      </w:r>
      <w:r>
        <w:t xml:space="preserve"> </w:t>
      </w:r>
      <w:r>
        <w:t xml:space="preserve">видимости. Их статус различен: часть уже проверяется текущими таблицами, часть</w:t>
      </w:r>
      <w:r>
        <w:t xml:space="preserve"> </w:t>
      </w:r>
      <w:r>
        <w:t xml:space="preserve">требует отдельного биографического слоя данных и поэтому ниже фиксируется как</w:t>
      </w:r>
      <w:r>
        <w:t xml:space="preserve"> </w:t>
      </w:r>
      <w:r>
        <w:t xml:space="preserve">проверяемая, но пока не доказанная исследовательская программа.</w:t>
      </w:r>
    </w:p>
    <w:p>
      <w:pPr>
        <w:pStyle w:val="BodyText"/>
      </w:pPr>
      <w:r>
        <w:rPr>
          <w:b/>
          <w:bCs/>
        </w:rPr>
        <w:t xml:space="preserve">Н11. «Город вместо учреждения» является эффектом формата программы, а не прямым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признаком внеинституционального статуса участника.</w:t>
      </w:r>
      <w:r>
        <w:t xml:space="preserve"> </w:t>
      </w:r>
      <w:r>
        <w:t xml:space="preserve">Эта гипотеза подтверждается</w:t>
      </w:r>
      <w:r>
        <w:t xml:space="preserve"> </w:t>
      </w:r>
      <w:r>
        <w:t xml:space="preserve">сильнее всего. В 899 авторских участиях доля записей, где вместо учреждения указан</w:t>
      </w:r>
      <w:r>
        <w:t xml:space="preserve"> </w:t>
      </w:r>
      <w:r>
        <w:t xml:space="preserve">только город, резко различается между площадками: 94.7% для Зографских чтений</w:t>
      </w:r>
      <w:r>
        <w:t xml:space="preserve"> </w:t>
      </w:r>
      <w:r>
        <w:t xml:space="preserve">против 13.0% для Рериховских. Стратифицированная по годам проверка (метод</w:t>
      </w:r>
      <w:r>
        <w:t xml:space="preserve"> </w:t>
      </w:r>
      <w:r>
        <w:t xml:space="preserve">Кохрана–Мантеля–Хензеля) дает отношение шансов около 157 при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85</m:t>
            </m:r>
          </m:sup>
        </m:sSup>
      </m:oMath>
      <w:r>
        <w:t xml:space="preserve"> </w:t>
      </w:r>
      <w:r>
        <w:t xml:space="preserve">(см. приложение Г.4). Поэтому городская метка в программе не должна</w:t>
      </w:r>
      <w:r>
        <w:t xml:space="preserve"> </w:t>
      </w:r>
      <w:r>
        <w:t xml:space="preserve">автоматически читаться как место работы, тип учреждения или отсутствие институции:</w:t>
      </w:r>
      <w:r>
        <w:t xml:space="preserve"> </w:t>
      </w:r>
      <w:r>
        <w:t xml:space="preserve">прежде всего это редакционный стандарт публикации программы.</w:t>
      </w:r>
    </w:p>
    <w:p>
      <w:pPr>
        <w:pStyle w:val="BodyText"/>
      </w:pPr>
      <w:r>
        <w:rPr>
          <w:b/>
          <w:bCs/>
        </w:rPr>
        <w:t xml:space="preserve">Н12. Периферийное участие может быть чаще внеуниверситетским или</w:t>
      </w:r>
      <w:r>
        <w:rPr>
          <w:b/>
          <w:bCs/>
        </w:rPr>
        <w:t xml:space="preserve"> </w:t>
      </w:r>
      <w:r>
        <w:rPr>
          <w:b/>
          <w:bCs/>
        </w:rPr>
        <w:t xml:space="preserve">внеинституциональным, но текущий корпус сам по себе этого не доказывает.</w:t>
      </w:r>
      <w:r>
        <w:t xml:space="preserve"> </w:t>
      </w:r>
      <w:r>
        <w:t xml:space="preserve">Данные</w:t>
      </w:r>
      <w:r>
        <w:t xml:space="preserve"> </w:t>
      </w:r>
      <w:r>
        <w:t xml:space="preserve">уверенно показывают более низкую возвращаемость региональных участников: 36.1%</w:t>
      </w:r>
      <w:r>
        <w:t xml:space="preserve"> </w:t>
      </w:r>
      <w:r>
        <w:t xml:space="preserve">против примерно 59% у столичных групп. Однако из строки «Казань», «Калининград»,</w:t>
      </w:r>
      <w:r>
        <w:t xml:space="preserve"> </w:t>
      </w:r>
      <w:r>
        <w:t xml:space="preserve">«Пенза» или «Екатеринбург» нельзя вывести, работает ли участник в университете,</w:t>
      </w:r>
      <w:r>
        <w:t xml:space="preserve"> </w:t>
      </w:r>
      <w:r>
        <w:t xml:space="preserve">академическом институте, музее, школе, независимом исследовательском статусе или</w:t>
      </w:r>
      <w:r>
        <w:t xml:space="preserve"> </w:t>
      </w:r>
      <w:r>
        <w:t xml:space="preserve">иной организации. Следовательно, корректная формулировка Н12 такова: региональная</w:t>
      </w:r>
      <w:r>
        <w:t xml:space="preserve"> </w:t>
      </w:r>
      <w:r>
        <w:t xml:space="preserve">периферия демонстрирует более слабую когортную устойчивость, а гипотеза о ее</w:t>
      </w:r>
      <w:r>
        <w:t xml:space="preserve"> </w:t>
      </w:r>
      <w:r>
        <w:t xml:space="preserve">внеуниверситетском характере требует отдельного authority-слоя с ручной или внешней</w:t>
      </w:r>
      <w:r>
        <w:t xml:space="preserve"> </w:t>
      </w:r>
      <w:r>
        <w:t xml:space="preserve">верификацией занятости. Пенза в этом смысле должна рассматриваться как возможное</w:t>
      </w:r>
      <w:r>
        <w:t xml:space="preserve"> </w:t>
      </w:r>
      <w:r>
        <w:t xml:space="preserve">исключение и контрольный кейс, а не как вывод из одной городской метки.</w:t>
      </w:r>
    </w:p>
    <w:p>
      <w:pPr>
        <w:pStyle w:val="BodyText"/>
      </w:pPr>
      <w:r>
        <w:rPr>
          <w:b/>
          <w:bCs/>
        </w:rPr>
        <w:t xml:space="preserve">Н13. YouTube-покрытие является не нейтральным зеркалом корпуса, а смещенным слоем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публичной видимости.</w:t>
      </w:r>
      <w:r>
        <w:t xml:space="preserve"> </w:t>
      </w:r>
      <w:r>
        <w:t xml:space="preserve">В собранных плейлистах насчитывается 178 видеозаписей, из</w:t>
      </w:r>
      <w:r>
        <w:t xml:space="preserve"> </w:t>
      </w:r>
      <w:r>
        <w:t xml:space="preserve">которых 89 автоматически сопоставлены с докладами, 65 требуют ручной проверки и</w:t>
      </w:r>
      <w:r>
        <w:t xml:space="preserve"> </w:t>
      </w:r>
      <w:r>
        <w:t xml:space="preserve">24 относятся к пропускам или сессионным записям. На уровне базы прямые ссылки на</w:t>
      </w:r>
      <w:r>
        <w:t xml:space="preserve"> </w:t>
      </w:r>
      <w:r>
        <w:t xml:space="preserve">видео привязаны к 82 уникальным докладам (84 авторским карточкам). Это покрытие</w:t>
      </w:r>
      <w:r>
        <w:t xml:space="preserve"> </w:t>
      </w:r>
      <w:r>
        <w:t xml:space="preserve">сильно неравномерно: оно относится почти исключительно к Зографским чтениям,</w:t>
      </w:r>
      <w:r>
        <w:t xml:space="preserve"> </w:t>
      </w:r>
      <w:r>
        <w:t xml:space="preserve">концентрируется в отдельных годах (особенно 2020 и 2025 гг.) и заметно различается</w:t>
      </w:r>
      <w:r>
        <w:t xml:space="preserve"> </w:t>
      </w:r>
      <w:r>
        <w:t xml:space="preserve">по тематическим группам. Поэтому видеослой полезен для анализа открытости и</w:t>
      </w:r>
      <w:r>
        <w:t xml:space="preserve"> </w:t>
      </w:r>
      <w:r>
        <w:t xml:space="preserve">видимости, но не должен использоваться как репрезентативная выборка всего корпуса</w:t>
      </w:r>
      <w:r>
        <w:t xml:space="preserve"> </w:t>
      </w:r>
      <w:r>
        <w:t xml:space="preserve">без поправки на смещение публикации.</w:t>
      </w:r>
    </w:p>
    <w:p>
      <w:pPr>
        <w:pStyle w:val="BodyText"/>
      </w:pPr>
      <w:r>
        <w:rPr>
          <w:b/>
          <w:bCs/>
        </w:rPr>
        <w:t xml:space="preserve">Н14. Шкала Гумилева фиксирует преобладание микрокейсового уровня обобщения.</w:t>
      </w:r>
      <w:r>
        <w:t xml:space="preserve"> </w:t>
      </w:r>
      <w:r>
        <w:t xml:space="preserve">Для навигации по докладам введена отдельная шкала уровня обобщения: G1 – отдельный</w:t>
      </w:r>
      <w:r>
        <w:t xml:space="preserve"> </w:t>
      </w:r>
      <w:r>
        <w:t xml:space="preserve">текст, автор, источник, термин или локальный сюжет; G2 – региональная традиция,</w:t>
      </w:r>
      <w:r>
        <w:t xml:space="preserve"> </w:t>
      </w:r>
      <w:r>
        <w:t xml:space="preserve">школа, жанр или длительная историко-культурная линия; G3 – широкий</w:t>
      </w:r>
      <w:r>
        <w:t xml:space="preserve"> </w:t>
      </w:r>
      <w:r>
        <w:t xml:space="preserve">сравнительный, цивилизационный или методологический уровень. В интерфейсе</w:t>
      </w:r>
      <w:r>
        <w:t xml:space="preserve"> </w:t>
      </w:r>
      <w:r>
        <w:t xml:space="preserve">микросайта эти уровни показаны как L1–L3, но в статье они обозначаются G1–G3,</w:t>
      </w:r>
      <w:r>
        <w:t xml:space="preserve"> </w:t>
      </w:r>
      <w:r>
        <w:t xml:space="preserve">чтобы не смешивать их с тематическими кодами L1/L2/L4. По 895 уникальным докладам</w:t>
      </w:r>
      <w:r>
        <w:t xml:space="preserve"> </w:t>
      </w:r>
      <w:r>
        <w:t xml:space="preserve">распределение резко асимметрично: G1 – 852 доклада, G2 – 37, G3 – 6. Тем самым</w:t>
      </w:r>
      <w:r>
        <w:t xml:space="preserve"> </w:t>
      </w:r>
      <w:r>
        <w:t xml:space="preserve">корпус в целом устроен как поле конкретных источниковедческих и текстологических</w:t>
      </w:r>
      <w:r>
        <w:t xml:space="preserve"> </w:t>
      </w:r>
      <w:r>
        <w:t xml:space="preserve">кейсов, а не как пространство регулярных макросравнительных обобщений.</w:t>
      </w:r>
    </w:p>
    <w:p>
      <w:pPr>
        <w:pStyle w:val="BodyText"/>
      </w:pPr>
      <w:r>
        <w:rPr>
          <w:b/>
          <w:bCs/>
        </w:rPr>
        <w:t xml:space="preserve">Н15. Классификация по заголовку в большинстве случаев устойчива, но видеоконтекст</w:t>
      </w:r>
      <w:r>
        <w:rPr>
          <w:b/>
          <w:bCs/>
        </w:rPr>
        <w:t xml:space="preserve"> </w:t>
      </w:r>
      <w:r>
        <w:rPr>
          <w:b/>
          <w:bCs/>
        </w:rPr>
        <w:t xml:space="preserve">обнаруживает границы автоматической разметки.</w:t>
      </w:r>
      <w:r>
        <w:t xml:space="preserve"> </w:t>
      </w:r>
      <w:r>
        <w:t xml:space="preserve">Для 89 сопоставленных видеозаписей</w:t>
      </w:r>
      <w:r>
        <w:t xml:space="preserve"> </w:t>
      </w:r>
      <w:r>
        <w:t xml:space="preserve">сравнение уровня Гумилева, назначенного только по названию доклада, с уровнем,</w:t>
      </w:r>
      <w:r>
        <w:t xml:space="preserve"> </w:t>
      </w:r>
      <w:r>
        <w:t xml:space="preserve">полученным с учетом названия видео, дает 76 совпадений и 13 расхождений, то есть</w:t>
      </w:r>
      <w:r>
        <w:t xml:space="preserve"> </w:t>
      </w:r>
      <w:r>
        <w:t xml:space="preserve">согласие около 85%. Это достаточный уровень для навигационной классификации и</w:t>
      </w:r>
      <w:r>
        <w:t xml:space="preserve"> </w:t>
      </w:r>
      <w:r>
        <w:t xml:space="preserve">первичной статистики, но не для жестких выводов о научном стиле отдельного автора</w:t>
      </w:r>
      <w:r>
        <w:t xml:space="preserve"> </w:t>
      </w:r>
      <w:r>
        <w:t xml:space="preserve">без просмотра записи и ручной верификации спорных случаев.</w:t>
      </w:r>
    </w:p>
    <w:p>
      <w:pPr>
        <w:pStyle w:val="BodyText"/>
      </w:pPr>
      <w:r>
        <w:t xml:space="preserve">Таким образом, Н11–Н15 расширяют основную аргументацию статьи в сторону критики</w:t>
      </w:r>
      <w:r>
        <w:t xml:space="preserve"> </w:t>
      </w:r>
      <w:r>
        <w:t xml:space="preserve">источника. Они показывают, что корпус содержит не только данные о людях и темах,</w:t>
      </w:r>
      <w:r>
        <w:t xml:space="preserve"> </w:t>
      </w:r>
      <w:r>
        <w:t xml:space="preserve">но и следы разных режимов публичной репрезентации: программы по-разному показывают</w:t>
      </w:r>
      <w:r>
        <w:t xml:space="preserve"> </w:t>
      </w:r>
      <w:r>
        <w:t xml:space="preserve">аффилиации, видеозаписи неравномерно распределяют видимость, а масштаб обобщения</w:t>
      </w:r>
      <w:r>
        <w:t xml:space="preserve"> </w:t>
      </w:r>
      <w:r>
        <w:t xml:space="preserve">доклада зависит от того, читаем ли мы только заголовок или сопоставляем его с</w:t>
      </w:r>
      <w:r>
        <w:t xml:space="preserve"> </w:t>
      </w:r>
      <w:r>
        <w:t xml:space="preserve">медиаконтекстом.</w:t>
      </w:r>
    </w:p>
    <w:bookmarkEnd w:id="59"/>
    <w:bookmarkStart w:id="60" w:name="заключение"/>
    <w:p>
      <w:pPr>
        <w:pStyle w:val="Heading2"/>
      </w:pPr>
      <w:r>
        <w:t xml:space="preserve">11.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шестнадцати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6.2–7.9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1.4–5.2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не изменила кадровую и дисциплинарную политику, но повлекла за собой хронологический сдвиг.</w:t>
      </w:r>
      <w:r>
        <w:t xml:space="preserve"> </w:t>
      </w:r>
      <w:r>
        <w:t xml:space="preserve">Статистически значимое перераспределение зафиксировано для исследуемых эпох (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): доля докладов по классическому периоду снизилась с 36.2% до 26.3% при одновременном росте доли тем без жесткой исторической привязки (с 8.2% до 16.7%). Приток новых авторов (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 и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 значимых изменений не претерпели.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 и не различается значимо между ядром и периферией участников (2.2% против 4.0%,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0.223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«Город вместо учреждения» является прежде всего источниковедческим эффектом.</w:t>
      </w:r>
      <w:r>
        <w:t xml:space="preserve"> </w:t>
      </w:r>
      <w:r>
        <w:t xml:space="preserve">Различие между Зографскими и Рериховскими чтениями по доле записей только с городом слишком велико и устойчиво, чтобы читать его как прямое свидетельство биографической внеинституциональности участников. Оно отражает разные стандарты публикации программ.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внеуниверситетском характере периферии требует отдельной проверки.</w:t>
      </w:r>
      <w:r>
        <w:t xml:space="preserve"> </w:t>
      </w:r>
      <w:r>
        <w:t xml:space="preserve">Корпус подтверждает более низкую возвращаемость региональных участников, но не позволяет автоматически установить тип их занятости. Поэтому тезис о периферийных неуниверситетских траекториях должен проверяться через authority-слой; Пенза выступает здесь не доказательством, а важным контрольным случаем.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YouTube-слой расширяет публичную проверяемость, но вносит смещение видимости.</w:t>
      </w:r>
      <w:r>
        <w:t xml:space="preserve"> </w:t>
      </w:r>
      <w:r>
        <w:t xml:space="preserve">178 собранных видеозаписей и 82 напрямую привязанных к базе доклада полезны для проверки отдельных случаев, однако их распределение по годам, площадкам и темам не репрезентативно для всего корпуса.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Шкала Гумилева показывает преобладание микрокейсового уровня.</w:t>
      </w:r>
      <w:r>
        <w:t xml:space="preserve"> </w:t>
      </w:r>
      <w:r>
        <w:t xml:space="preserve">Из 895 уникальных докладов 852 отнесены к уровню конкретного текста, автора, источника или локального сюжета; только 37 выходят на региональный уровень и 6 – на широкий сравнительный или методологический уровень. Это подтверждает текстоцентричный и кейсоцентричный характер поля.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Сопоставление заголовков с видеоконтекстом задает границу автоматической классификации.</w:t>
      </w:r>
      <w:r>
        <w:t xml:space="preserve"> </w:t>
      </w:r>
      <w:r>
        <w:t xml:space="preserve">В 76 из 89 сопоставленных видеослучаев уровень обобщения совпадает, но 13 расхождений показывают, что навигационная разметка не должна подменять ручную экспертную интерпретацию спорных докладов.</w:t>
      </w:r>
    </w:p>
    <w:p>
      <w:pPr>
        <w:pStyle w:val="FirstParagraph"/>
      </w:pPr>
      <w:r>
        <w:t xml:space="preserve">Демографически обе площадки демонстрируют не простое монотонное старение, а более</w:t>
      </w:r>
      <w:r>
        <w:t xml:space="preserve"> </w:t>
      </w:r>
      <w:r>
        <w:t xml:space="preserve">сложную задачу воспроизводства состава. Сплошная биографическая верификация показывает,</w:t>
      </w:r>
      <w:r>
        <w:t xml:space="preserve"> </w:t>
      </w:r>
      <w:r>
        <w:t xml:space="preserve">что возраст первого наблюдаемого выступления снижается по сравнению с ранним периодом,</w:t>
      </w:r>
      <w:r>
        <w:t xml:space="preserve"> </w:t>
      </w:r>
      <w:r>
        <w:t xml:space="preserve">а в 2025 г. обе площадки сходятся на медианном возрасте участников 47.5 лет. Поэтому</w:t>
      </w:r>
      <w:r>
        <w:t xml:space="preserve"> </w:t>
      </w:r>
      <w:r>
        <w:t xml:space="preserve">главное напряжение состоит не в механическом отсутствии молодых кадров, а в том, что</w:t>
      </w:r>
      <w:r>
        <w:t xml:space="preserve"> </w:t>
      </w:r>
      <w:r>
        <w:t xml:space="preserve">новые участники и региональная периферия слабее закрепляются в устойчивой когорте.</w:t>
      </w:r>
      <w:r>
        <w:t xml:space="preserve"> </w:t>
      </w:r>
      <w:r>
        <w:t xml:space="preserve">В обозримой перспективе обе сегодняшние модели институционализации (плотное ядро</w:t>
      </w:r>
      <w:r>
        <w:t xml:space="preserve"> </w:t>
      </w:r>
      <w:r>
        <w:t xml:space="preserve">ИВ РАН в Москве и более диффузная межинституциональная сеть в Петербурге) будут</w:t>
      </w:r>
      <w:r>
        <w:t xml:space="preserve"> </w:t>
      </w:r>
      <w:r>
        <w:t xml:space="preserve">испытаны на прочность задачей привлечения и удержания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индивидуальный стиль, а не массовая стратегия (Н10).</w:t>
      </w:r>
      <w:r>
        <w:t xml:space="preserve"> </w:t>
      </w:r>
      <w:r>
        <w:t xml:space="preserve">Проверка не выявила статистически значимого различия между ядром и периферией и показала низкую общую долю сериализованных докладов. Поэтому этот признак не следует трактовать как доминирующий механизм закрытости сообщества; скорее он указывает на отдельные долговременные исследовательские траектории, где авторы годами разворачивают один узкий сюжет.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Административный протекционизм под маской стандартизации (Н8).</w:t>
      </w:r>
      <w:r>
        <w:t xml:space="preserve"> </w:t>
      </w:r>
      <w:r>
        <w:t xml:space="preserve">Попытки ужесточения отбора под лозунгом «академического индологического профиля» и смена руководства оргкомитетов на практике не приводят к качественному обновлению состава (приток новичков остается статистически неизменным). Вместо этого они служат инструментом символического контроля и легитимации «своих» сетей. Это подтверждается тем, что за декларациями о строгости скрывается размывание классического хронологического канона в пользу более свободных, не привязанных к источникам тем, удобных для доминирующих групп.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напряжение как задача воспроизводства.</w:t>
      </w:r>
      <w:r>
        <w:t xml:space="preserve"> </w:t>
      </w:r>
      <w:r>
        <w:t xml:space="preserve">Сплошная биографическая верификация не подтверждает прежний образ резкого старения корпуса: в 2025 г. обе площадки сходятся на медианном возрасте 47.5 лет, а возраст дебюта снижается по сравнению с ранним периодом. Напряжение состоит не в простом отсутствии молодых кадров, а в том, что новые участники и региональная периферия слабее удерживаются в устойчивой когорте; поэтому борьба за символические ресурсы (статус «профильного индолога», право отбора, экспертная монополия) остается связанной с задачей воспроизводства ядра.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60"/>
    <w:bookmarkStart w:id="61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провели сплошную архивную и просопографическую верификацию биографических данных для всей когорты из 220 ученых. Использование оценочных прокси-метрик по внешним базам вроде OpenAlex не потребовалось, что позволило полностью исключить селективное смещение выборки.</w:t>
      </w:r>
    </w:p>
    <w:bookmarkEnd w:id="61"/>
    <w:bookmarkStart w:id="62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62"/>
    <w:bookmarkStart w:id="63" w:name="X9869427767835cb95d2b14937be998a537aee4b"/>
    <w:p>
      <w:pPr>
        <w:pStyle w:val="Heading2"/>
      </w:pPr>
      <w:r>
        <w:t xml:space="preserve">Приложение А. Перекрестная когорта: 38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 2004–2026 гг., упорядочен по убыванию суммарного числа докладов. Столбец «годы» — первый и последний доклад в нашей выборке; столбец «г. р.» — год рождения; «†» — год смерти, где зафиксирован.</w:t>
      </w:r>
    </w:p>
    <w:p>
      <w:pPr>
        <w:pStyle w:val="BodyText"/>
      </w:pPr>
      <w:r>
        <w:t xml:space="preserve">1 | С. О. Цветкова | 1978 | — | 22 | 10 | 12 | 2007–2026 | Санкт-Петербург |</w:t>
      </w:r>
      <w:r>
        <w:br/>
      </w:r>
      <w:r>
        <w:t xml:space="preserve">2 | Н. В. Александрова | 1965 | — | 20 | 9 | 11 | 2012–2026 | Москва |</w:t>
      </w:r>
      <w:r>
        <w:br/>
      </w:r>
      <w:r>
        <w:t xml:space="preserve">3 | С. С. Тавастшерна | 1969 | — | 20 | 8 | 12 | 2006–2026 | Санкт-Петербург |</w:t>
      </w:r>
      <w:r>
        <w:br/>
      </w:r>
      <w:r>
        <w:t xml:space="preserve">4 | С. И. Рыжакова | 1970 | — | 19 | 15 | 4 | 2004–2026 | Москва |</w:t>
      </w:r>
      <w:r>
        <w:br/>
      </w:r>
      <w:r>
        <w:t xml:space="preserve">5 | В. Г. Лысенко | 1953 | — | 16 | 12 | 4 | 2004–2025 | Москва |</w:t>
      </w:r>
      <w:r>
        <w:br/>
      </w:r>
      <w:r>
        <w:t xml:space="preserve">6 | Н. А. Корнеева | 1972 | — | 15 | 10 | 5 | 2010–2026 | Москва |</w:t>
      </w:r>
      <w:r>
        <w:br/>
      </w:r>
      <w:r>
        <w:t xml:space="preserve">7 | А. Г. Мехакян | 1978 | — | 15 | 3 | 12 | 2007–2025 | ММС |</w:t>
      </w:r>
      <w:r>
        <w:br/>
      </w:r>
      <w:r>
        <w:t xml:space="preserve">8 | А. М. Дубянский | 1941 | 2020 | 14 | 7 | 7 | 2004–2020 | Москва |</w:t>
      </w:r>
      <w:r>
        <w:br/>
      </w:r>
      <w:r>
        <w:t xml:space="preserve">9 | В. В. Вертоградова | 1933 | — | 13 | 1 | 12 | 2006–2024 | ИВ РАН |</w:t>
      </w:r>
      <w:r>
        <w:br/>
      </w:r>
      <w:r>
        <w:t xml:space="preserve">10 | О. П. Вечерина | 1960 | 2023 | 13 | 6 | 7 | 2014–2022 | Москва |</w:t>
      </w:r>
      <w:r>
        <w:br/>
      </w:r>
      <w:r>
        <w:t xml:space="preserve">11 | Н. Р. Лидова | 1954 | — | 13 | 6 | 7 | 2010–2026 | Москва |</w:t>
      </w:r>
      <w:r>
        <w:br/>
      </w:r>
      <w:r>
        <w:t xml:space="preserve">12 | Ю. М. Алиханова | 1936 | 2024 | 11 | 5 | 6 | 2004–2019 | ИСАА МГУ |</w:t>
      </w:r>
      <w:r>
        <w:br/>
      </w:r>
      <w:r>
        <w:t xml:space="preserve">13 | А. Н. Бабин | 1990 | — | 10 | 4 | 6 | 2017–2025 | Москва |</w:t>
      </w:r>
      <w:r>
        <w:br/>
      </w:r>
      <w:r>
        <w:t xml:space="preserve">14 | Д. Н. Воробьева | 1982 | — | 10 | 2 | 8 | 2015–2025 | Москва |</w:t>
      </w:r>
      <w:r>
        <w:br/>
      </w:r>
      <w:r>
        <w:t xml:space="preserve">15 | Д. И. Жутаев | 1969 | 2020 | 10 | 2 | 8 | 2006–2019 | ИВ РАН |</w:t>
      </w:r>
      <w:r>
        <w:br/>
      </w:r>
      <w:r>
        <w:t xml:space="preserve">16 | Е. А. Юдицкая | 1987 | — | 10 | 3 | 7 | 2012–2022 | ИВ РАН |</w:t>
      </w:r>
      <w:r>
        <w:br/>
      </w:r>
      <w:r>
        <w:t xml:space="preserve">17 | Н. В. Гордийчук | 1982 | — | 9 | 4 | 5 | 2016–2022 | Москва |</w:t>
      </w:r>
      <w:r>
        <w:br/>
      </w:r>
      <w:r>
        <w:t xml:space="preserve">18 | Е. Д. Огнева | 1944 | — | 9 | 1 | 8 | 2012–2022 | ИВ НАН Украины |</w:t>
      </w:r>
      <w:r>
        <w:br/>
      </w:r>
      <w:r>
        <w:t xml:space="preserve">19 | А. Г. Гурия | 1988 | — | 8 | 1 | 7 | 2007–2024 | ИСАА МГУ, онлайн |</w:t>
      </w:r>
      <w:r>
        <w:br/>
      </w:r>
      <w:r>
        <w:t xml:space="preserve">20 | А. С. Крылова | 1985 | — | 7 | 4 | 3 | 2020–2026 | Москва |</w:t>
      </w:r>
      <w:r>
        <w:br/>
      </w:r>
      <w:r>
        <w:t xml:space="preserve">21 | Е. О. Кузина | 1991 | — | 7 | 2 | 5 | 2016–2022 | ГИИ |</w:t>
      </w:r>
      <w:r>
        <w:br/>
      </w:r>
      <w:r>
        <w:t xml:space="preserve">22 | Л. И. Куликов | 1964 | — | 7 | 4 | 3 | 2018–2026 | Гент |</w:t>
      </w:r>
      <w:r>
        <w:br/>
      </w:r>
      <w:r>
        <w:t xml:space="preserve">23 | А. А. Смирнитская | 1978 | — | 7 | 5 | 2 | 2018–2025 | Москва |</w:t>
      </w:r>
      <w:r>
        <w:br/>
      </w:r>
      <w:r>
        <w:t xml:space="preserve">24 | Л. И. Титлин | 1986 | — | 7 | 3 | 4 | 2012–2022 | ИФ РАН |</w:t>
      </w:r>
      <w:r>
        <w:br/>
      </w:r>
      <w:r>
        <w:t xml:space="preserve">25 | Е. А. Уланский | 1981 | — | 7 | 4 | 3 | 2019–2025 | независимый исследователь |</w:t>
      </w:r>
      <w:r>
        <w:br/>
      </w:r>
      <w:r>
        <w:t xml:space="preserve">26 | А. В. Ложкина | 1992 | — | 6 | 1 | 5 | 2015–2019 | ИФ РАН |</w:t>
      </w:r>
      <w:r>
        <w:br/>
      </w:r>
      <w:r>
        <w:t xml:space="preserve">27 | М. Ю. Гасунс | 1983 | — | 6 | 4 | 2 | 2006–2024 | ни |</w:t>
      </w:r>
      <w:r>
        <w:br/>
      </w:r>
      <w:r>
        <w:t xml:space="preserve">28 | Д. Н. Лелюхин | 1956 | 2014 | 6 | 5 | 1 | 2004–2014 | Москва |</w:t>
      </w:r>
      <w:r>
        <w:br/>
      </w:r>
      <w:r>
        <w:t xml:space="preserve">29 | Н. А. Канаева | 1953 | — | 6 | 3 | 3 | 2013–2025 | Москва |</w:t>
      </w:r>
      <w:r>
        <w:br/>
      </w:r>
      <w:r>
        <w:t xml:space="preserve">30 | А. А. Вигасин | 1946 | — | 5 | 3 | 2 | 2006–2025 | Москва |</w:t>
      </w:r>
      <w:r>
        <w:br/>
      </w:r>
      <w:r>
        <w:t xml:space="preserve">31 | Д. А. Комиссаров | 1977 | — | 5 | 4 | 1 | 2018–2026 | Москва |</w:t>
      </w:r>
      <w:r>
        <w:br/>
      </w:r>
      <w:r>
        <w:t xml:space="preserve">32 | Е. А. Ренковская | 1991 | — | 5 | 4 | 1 | 2020–2026 | Москва |</w:t>
      </w:r>
      <w:r>
        <w:br/>
      </w:r>
      <w:r>
        <w:t xml:space="preserve">33 | В. К. Шохин | 1951 | — | 5 | 3 | 2 | 2020–2026 | Москва |</w:t>
      </w:r>
      <w:r>
        <w:br/>
      </w:r>
      <w:r>
        <w:t xml:space="preserve">34 | Р. Н. Крапивина | 1953 | — | 4 | 3 | 1 | 2011–2026 | Санкт-Петербург |</w:t>
      </w:r>
      <w:r>
        <w:br/>
      </w:r>
      <w:r>
        <w:t xml:space="preserve">35 | М. Д. Минаева | 1999 | — | 3 | 1 | 2 | 2024–2026 | Москва |</w:t>
      </w:r>
      <w:r>
        <w:br/>
      </w:r>
      <w:r>
        <w:t xml:space="preserve">36 | А. В. Молина | 1999 | — | 3 | 1 | 2 | 2024–2026 | Москва |</w:t>
      </w:r>
      <w:r>
        <w:br/>
      </w:r>
      <w:r>
        <w:t xml:space="preserve">37 | С. В. Кулланда | 1954 | 2020 | 2 | 1 | 1 | 2011–2012 | ИВ РАН |</w:t>
      </w:r>
      <w:r>
        <w:br/>
      </w:r>
      <w:r>
        <w:t xml:space="preserve">38 | А. В. Фивейская | 1993 | — | 2 | 1 | 1 | 2020–2021 | Москва |</w:t>
      </w:r>
    </w:p>
    <w:p>
      <w:pPr>
        <w:pStyle w:val="BodyText"/>
      </w:pPr>
      <w:r>
        <w:t xml:space="preserve">Среди 38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38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63"/>
    <w:bookmarkStart w:id="64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64"/>
    <w:bookmarkStart w:id="69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65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5"/>
    <w:bookmarkStart w:id="66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6"/>
    <w:bookmarkStart w:id="67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7"/>
    <w:bookmarkStart w:id="68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68"/>
    <w:bookmarkEnd w:id="69"/>
    <w:bookmarkStart w:id="81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73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220 ученых 38 (17.3%)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38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p>
      <w:pPr>
        <w:pStyle w:val="CaptionedFigure"/>
      </w:pPr>
      <w:r>
        <w:drawing>
          <wp:inline>
            <wp:extent cx="5334000" cy="3163062"/>
            <wp:effectExtent b="0" l="0" r="0" t="0"/>
            <wp:docPr descr="Рис. Г1. Нулевое распределение числа учёных на обеих площадках" title="" id="71" name="Picture"/>
            <a:graphic>
              <a:graphicData uri="http://schemas.openxmlformats.org/drawingml/2006/picture">
                <pic:pic>
                  <pic:nvPicPr>
                    <pic:cNvPr descr="hypothesis_output/null_model_overlap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38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73"/>
    <w:bookmarkStart w:id="74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43,7 (36,5–50,9)</w:t>
            </w:r>
          </w:p>
        </w:tc>
        <w:tc>
          <w:tcPr/>
          <w:p>
            <w:pPr>
              <w:pStyle w:val="Compact"/>
            </w:pPr>
            <w:r>
              <w:t xml:space="preserve">38,5 (28,6–48,4)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56,3 (48,5–64,1)</w:t>
            </w:r>
          </w:p>
        </w:tc>
        <w:tc>
          <w:tcPr/>
          <w:p>
            <w:pPr>
              <w:pStyle w:val="Compact"/>
            </w:pPr>
            <w:r>
              <w:t xml:space="preserve">61,5 (51,7–71,4)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24,0 (17,4–30,5)</w:t>
            </w:r>
          </w:p>
        </w:tc>
        <w:tc>
          <w:tcPr/>
          <w:p>
            <w:pPr>
              <w:pStyle w:val="Compact"/>
            </w:pPr>
            <w:r>
              <w:t xml:space="preserve">31,9 (23,1–41,8)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(0,43–0,50)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(−3,7; +19,3)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(−7,3; +17,4)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(−17,8; +7,4)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0,72)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74"/>
    <w:bookmarkStart w:id="78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Рис. Г2. Кривые дожития: доля учёных, ещё активных через N лет после дебюта" title="" id="76" name="Picture"/>
            <a:graphic>
              <a:graphicData uri="http://schemas.openxmlformats.org/drawingml/2006/picture">
                <pic:pic>
                  <pic:nvPicPr>
                    <pic:cNvPr descr="hypothesis_output/km_retentio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0,988).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78"/>
    <w:bookmarkStart w:id="79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79"/>
    <w:bookmarkStart w:id="80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5" Target="media/rId75.png" /><Relationship Type="http://schemas.openxmlformats.org/officeDocument/2006/relationships/image" Id="rId55" Target="media/rId55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2026-05-24T11:14:35Z</dcterms:created>
  <dcterms:modified xsi:type="dcterms:W3CDTF">2026-05-24T11:14:35Z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