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0" w:name="content"/>
    <w:bookmarkStart w:id="39" w:name="экзекьютив-саммари"/>
    <w:p>
      <w:pPr>
        <w:pStyle w:val="Heading1"/>
      </w:pPr>
      <w:r>
        <w:t xml:space="preserve">Экзекьютив-саммари</w:t>
      </w:r>
    </w:p>
    <w:p>
      <w:pPr>
        <w:pStyle w:val="FirstParagraph"/>
      </w:pPr>
      <w:r>
        <w:t xml:space="preserve">В обновлённом анализе использованы данные по платежам учеников (</w:t>
      </w:r>
      <w:r>
        <w:rPr>
          <w:i/>
          <w:iCs/>
        </w:rPr>
        <w:t xml:space="preserve">Студенты_Оплаты.xlsx</w:t>
      </w:r>
      <w:r>
        <w:t xml:space="preserve">) и по расходам ИП (</w:t>
      </w:r>
      <w:r>
        <w:rPr>
          <w:i/>
          <w:iCs/>
        </w:rPr>
        <w:t xml:space="preserve">Расходы по ИП</w:t>
      </w:r>
      <w:r>
        <w:t xml:space="preserve">.xlsx). Мы включили все месяцы с октября 2025 по март 2026 (и учли апрель по платежам). Основные выводы:</w:t>
      </w:r>
      <w:r>
        <w:t xml:space="preserve"> </w:t>
      </w:r>
      <w:r>
        <w:rPr>
          <w:b/>
          <w:bCs/>
        </w:rPr>
        <w:t xml:space="preserve">Октябрь 2025</w:t>
      </w:r>
      <w:r>
        <w:t xml:space="preserve"> </w:t>
      </w:r>
      <w:r>
        <w:t xml:space="preserve">– пиковая выручка (≈3,50 млн ₽) и высокая валовая маржа (~68%), затем выручка упала, расходы выросли, и в ноябре–январе маржа близка к нулю (даже отрицательная в Дек и Янв). В марте снова рост выручки (~2,02 млн ₽). Средний чек ≈6,6 тыс ₽. Расходы: ~50–75% – на преподавателей, 5–20% – на штат, ~5–10% – налоги, ~2–3% – банк, остальное – прочие.</w:t>
      </w:r>
      <w:r>
        <w:t xml:space="preserve"> </w:t>
      </w:r>
      <w:r>
        <w:rPr>
          <w:b/>
          <w:bCs/>
        </w:rPr>
        <w:t xml:space="preserve">Повторные покупки:</w:t>
      </w:r>
      <w:r>
        <w:t xml:space="preserve"> </w:t>
      </w:r>
      <w:r>
        <w:t xml:space="preserve">~69% клиентов делали &gt;1 платеж (высокий Retention). LTV ≈24,5 тыс ₽ на клиента (по формуле LTV = ARPU × частота покупок × маржа)</w:t>
      </w:r>
      <w:hyperlink r:id="rId21">
        <w:r>
          <w:rPr>
            <w:rStyle w:val="Hyperlink"/>
          </w:rPr>
          <w:t xml:space="preserve">[1]</w:t>
        </w:r>
      </w:hyperlink>
      <w:r>
        <w:t xml:space="preserve">. Эти метрики сравнимы с практиками онлайн-школ из Noboring Finance: например, высокие повторные продажи и маржинальность курса при правильной наценке</w:t>
      </w:r>
      <w:hyperlink r:id="rId22">
        <w:r>
          <w:rPr>
            <w:rStyle w:val="Hyperlink"/>
          </w:rPr>
          <w:t xml:space="preserve">[2]</w:t>
        </w:r>
      </w:hyperlink>
      <w:hyperlink r:id="rId23">
        <w:r>
          <w:rPr>
            <w:rStyle w:val="Hyperlink"/>
          </w:rPr>
          <w:t xml:space="preserve">[3]</w:t>
        </w:r>
      </w:hyperlink>
      <w:r>
        <w:t xml:space="preserve">. Ниже приведены подробные расчёты по месяцам, графики, когортный анализ, LTV с чувствительностью и рекомендации.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Месяц</w:t>
            </w:r>
          </w:p>
        </w:tc>
        <w:tc>
          <w:tcPr/>
          <w:p>
            <w:pPr>
              <w:pStyle w:val="Compact"/>
            </w:pPr>
            <w:r>
              <w:t xml:space="preserve">Выручка (₽)</w:t>
            </w:r>
          </w:p>
        </w:tc>
        <w:tc>
          <w:tcPr/>
          <w:p>
            <w:pPr>
              <w:pStyle w:val="Compact"/>
            </w:pPr>
            <w:r>
              <w:t xml:space="preserve">Платежи</w:t>
            </w:r>
          </w:p>
        </w:tc>
        <w:tc>
          <w:tcPr/>
          <w:p>
            <w:pPr>
              <w:pStyle w:val="Compact"/>
            </w:pPr>
            <w:r>
              <w:t xml:space="preserve">Клиенты</w:t>
            </w:r>
          </w:p>
        </w:tc>
        <w:tc>
          <w:tcPr/>
          <w:p>
            <w:pPr>
              <w:pStyle w:val="Compact"/>
            </w:pPr>
            <w:r>
              <w:t xml:space="preserve">Средний чек (₽)</w:t>
            </w:r>
          </w:p>
        </w:tc>
        <w:tc>
          <w:tcPr/>
          <w:p>
            <w:pPr>
              <w:pStyle w:val="Compact"/>
            </w:pPr>
            <w:r>
              <w:t xml:space="preserve">Всего расходов (₽)</w:t>
            </w:r>
          </w:p>
        </w:tc>
        <w:tc>
          <w:tcPr/>
          <w:p>
            <w:pPr>
              <w:pStyle w:val="Compact"/>
            </w:pPr>
            <w:r>
              <w:t xml:space="preserve">Преподы (₽)</w:t>
            </w:r>
          </w:p>
        </w:tc>
        <w:tc>
          <w:tcPr/>
          <w:p>
            <w:pPr>
              <w:pStyle w:val="Compact"/>
            </w:pPr>
            <w:r>
              <w:t xml:space="preserve">Коллектив (₽)</w:t>
            </w:r>
          </w:p>
        </w:tc>
        <w:tc>
          <w:tcPr/>
          <w:p>
            <w:pPr>
              <w:pStyle w:val="Compact"/>
            </w:pPr>
            <w:r>
              <w:t xml:space="preserve">Налоги (₽)</w:t>
            </w:r>
          </w:p>
        </w:tc>
        <w:tc>
          <w:tcPr/>
          <w:p>
            <w:pPr>
              <w:pStyle w:val="Compact"/>
            </w:pPr>
            <w:r>
              <w:t xml:space="preserve">Банк (₽)</w:t>
            </w:r>
          </w:p>
        </w:tc>
        <w:tc>
          <w:tcPr/>
          <w:p>
            <w:pPr>
              <w:pStyle w:val="Compact"/>
            </w:pPr>
            <w:r>
              <w:t xml:space="preserve">Прочие (₽)</w:t>
            </w:r>
          </w:p>
        </w:tc>
        <w:tc>
          <w:tcPr/>
          <w:p>
            <w:pPr>
              <w:pStyle w:val="Compact"/>
            </w:pPr>
            <w:r>
              <w:t xml:space="preserve">Вал. прибыль (₽)</w:t>
            </w:r>
          </w:p>
        </w:tc>
        <w:tc>
          <w:tcPr/>
          <w:p>
            <w:pPr>
              <w:pStyle w:val="Compact"/>
            </w:pPr>
            <w:r>
              <w:t xml:space="preserve">Вал. маржа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Октябрь 2025</w:t>
            </w:r>
          </w:p>
        </w:tc>
        <w:tc>
          <w:tcPr/>
          <w:p>
            <w:pPr>
              <w:pStyle w:val="Compact"/>
            </w:pPr>
            <w:r>
              <w:t xml:space="preserve">3 496 060</w:t>
            </w:r>
          </w:p>
        </w:tc>
        <w:tc>
          <w:tcPr/>
          <w:p>
            <w:pPr>
              <w:pStyle w:val="Compact"/>
            </w:pPr>
            <w:r>
              <w:t xml:space="preserve">427</w:t>
            </w:r>
          </w:p>
        </w:tc>
        <w:tc>
          <w:tcPr/>
          <w:p>
            <w:pPr>
              <w:pStyle w:val="Compact"/>
            </w:pPr>
            <w:r>
              <w:t xml:space="preserve">270</w:t>
            </w:r>
          </w:p>
        </w:tc>
        <w:tc>
          <w:tcPr/>
          <w:p>
            <w:pPr>
              <w:pStyle w:val="Compact"/>
            </w:pPr>
            <w:r>
              <w:t xml:space="preserve">8 187</w:t>
            </w:r>
          </w:p>
        </w:tc>
        <w:tc>
          <w:tcPr/>
          <w:p>
            <w:pPr>
              <w:pStyle w:val="Compact"/>
            </w:pPr>
            <w:r>
              <w:t xml:space="preserve">1 122 711</w:t>
            </w:r>
          </w:p>
        </w:tc>
        <w:tc>
          <w:tcPr/>
          <w:p>
            <w:pPr>
              <w:pStyle w:val="Compact"/>
            </w:pPr>
            <w:r>
              <w:t xml:space="preserve">570 212</w:t>
            </w:r>
          </w:p>
        </w:tc>
        <w:tc>
          <w:tcPr/>
          <w:p>
            <w:pPr>
              <w:pStyle w:val="Compact"/>
            </w:pPr>
            <w:r>
              <w:t xml:space="preserve">237 000</w:t>
            </w:r>
          </w:p>
        </w:tc>
        <w:tc>
          <w:tcPr/>
          <w:p>
            <w:pPr>
              <w:pStyle w:val="Compact"/>
            </w:pPr>
            <w:r>
              <w:t xml:space="preserve">117 655</w:t>
            </w:r>
          </w:p>
        </w:tc>
        <w:tc>
          <w:tcPr/>
          <w:p>
            <w:pPr>
              <w:pStyle w:val="Compact"/>
            </w:pPr>
            <w:r>
              <w:t xml:space="preserve">28 829</w:t>
            </w:r>
          </w:p>
        </w:tc>
        <w:tc>
          <w:tcPr/>
          <w:p>
            <w:pPr>
              <w:pStyle w:val="Compact"/>
            </w:pPr>
            <w:r>
              <w:t xml:space="preserve">169 015</w:t>
            </w:r>
          </w:p>
        </w:tc>
        <w:tc>
          <w:tcPr/>
          <w:p>
            <w:pPr>
              <w:pStyle w:val="Compact"/>
            </w:pPr>
            <w:r>
              <w:t xml:space="preserve">2 373 349</w:t>
            </w:r>
          </w:p>
        </w:tc>
        <w:tc>
          <w:tcPr/>
          <w:p>
            <w:pPr>
              <w:pStyle w:val="Compact"/>
            </w:pPr>
            <w:r>
              <w:t xml:space="preserve">67,9%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Ноябрь 2025</w:t>
            </w:r>
          </w:p>
        </w:tc>
        <w:tc>
          <w:tcPr/>
          <w:p>
            <w:pPr>
              <w:pStyle w:val="Compact"/>
            </w:pPr>
            <w:r>
              <w:t xml:space="preserve">1 635 900</w:t>
            </w:r>
          </w:p>
        </w:tc>
        <w:tc>
          <w:tcPr/>
          <w:p>
            <w:pPr>
              <w:pStyle w:val="Compact"/>
            </w:pPr>
            <w:r>
              <w:t xml:space="preserve">299</w:t>
            </w:r>
          </w:p>
        </w:tc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5 471</w:t>
            </w:r>
          </w:p>
        </w:tc>
        <w:tc>
          <w:tcPr/>
          <w:p>
            <w:pPr>
              <w:pStyle w:val="Compact"/>
            </w:pPr>
            <w:r>
              <w:t xml:space="preserve">1 486 707</w:t>
            </w:r>
          </w:p>
        </w:tc>
        <w:tc>
          <w:tcPr/>
          <w:p>
            <w:pPr>
              <w:pStyle w:val="Compact"/>
            </w:pPr>
            <w:r>
              <w:t xml:space="preserve">1 062 730</w:t>
            </w:r>
          </w:p>
        </w:tc>
        <w:tc>
          <w:tcPr/>
          <w:p>
            <w:pPr>
              <w:pStyle w:val="Compact"/>
            </w:pPr>
            <w:r>
              <w:t xml:space="preserve">217 018</w:t>
            </w:r>
          </w:p>
        </w:tc>
        <w:tc>
          <w:tcPr/>
          <w:p>
            <w:pPr>
              <w:pStyle w:val="Compact"/>
            </w:pPr>
            <w:r>
              <w:t xml:space="preserve">74 719</w:t>
            </w:r>
          </w:p>
        </w:tc>
        <w:tc>
          <w:tcPr/>
          <w:p>
            <w:pPr>
              <w:pStyle w:val="Compact"/>
            </w:pPr>
            <w:r>
              <w:t xml:space="preserve">18 531</w:t>
            </w:r>
          </w:p>
        </w:tc>
        <w:tc>
          <w:tcPr/>
          <w:p>
            <w:pPr>
              <w:pStyle w:val="Compact"/>
            </w:pPr>
            <w:r>
              <w:t xml:space="preserve">113 709</w:t>
            </w:r>
          </w:p>
        </w:tc>
        <w:tc>
          <w:tcPr/>
          <w:p>
            <w:pPr>
              <w:pStyle w:val="Compact"/>
            </w:pPr>
            <w:r>
              <w:t xml:space="preserve">149 193</w:t>
            </w:r>
          </w:p>
        </w:tc>
        <w:tc>
          <w:tcPr/>
          <w:p>
            <w:pPr>
              <w:pStyle w:val="Compact"/>
            </w:pPr>
            <w:r>
              <w:t xml:space="preserve">9,1%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Декабрь 2025</w:t>
            </w:r>
          </w:p>
        </w:tc>
        <w:tc>
          <w:tcPr/>
          <w:p>
            <w:pPr>
              <w:pStyle w:val="Compact"/>
            </w:pPr>
            <w:r>
              <w:t xml:space="preserve">1 682 770</w:t>
            </w:r>
          </w:p>
        </w:tc>
        <w:tc>
          <w:tcPr/>
          <w:p>
            <w:pPr>
              <w:pStyle w:val="Compact"/>
            </w:pPr>
            <w:r>
              <w:t xml:space="preserve">287</w:t>
            </w:r>
          </w:p>
        </w:tc>
        <w:tc>
          <w:tcPr/>
          <w:p>
            <w:pPr>
              <w:pStyle w:val="Compact"/>
            </w:pPr>
            <w:r>
              <w:t xml:space="preserve">191</w:t>
            </w:r>
          </w:p>
        </w:tc>
        <w:tc>
          <w:tcPr/>
          <w:p>
            <w:pPr>
              <w:pStyle w:val="Compact"/>
            </w:pPr>
            <w:r>
              <w:t xml:space="preserve">5 863</w:t>
            </w:r>
          </w:p>
        </w:tc>
        <w:tc>
          <w:tcPr/>
          <w:p>
            <w:pPr>
              <w:pStyle w:val="Compact"/>
            </w:pPr>
            <w:r>
              <w:t xml:space="preserve">1 731 361</w:t>
            </w:r>
          </w:p>
        </w:tc>
        <w:tc>
          <w:tcPr/>
          <w:p>
            <w:pPr>
              <w:pStyle w:val="Compact"/>
            </w:pPr>
            <w:r>
              <w:t xml:space="preserve">1 056 683</w:t>
            </w:r>
          </w:p>
        </w:tc>
        <w:tc>
          <w:tcPr/>
          <w:p>
            <w:pPr>
              <w:pStyle w:val="Compact"/>
            </w:pPr>
            <w:r>
              <w:t xml:space="preserve">312 580</w:t>
            </w:r>
          </w:p>
        </w:tc>
        <w:tc>
          <w:tcPr/>
          <w:p>
            <w:pPr>
              <w:pStyle w:val="Compact"/>
            </w:pPr>
            <w:r>
              <w:t xml:space="preserve">81 118</w:t>
            </w:r>
          </w:p>
        </w:tc>
        <w:tc>
          <w:tcPr/>
          <w:p>
            <w:pPr>
              <w:pStyle w:val="Compact"/>
            </w:pPr>
            <w:r>
              <w:t xml:space="preserve">23 490</w:t>
            </w:r>
          </w:p>
        </w:tc>
        <w:tc>
          <w:tcPr/>
          <w:p>
            <w:pPr>
              <w:pStyle w:val="Compact"/>
            </w:pPr>
            <w:r>
              <w:t xml:space="preserve">257 490</w:t>
            </w:r>
          </w:p>
        </w:tc>
        <w:tc>
          <w:tcPr/>
          <w:p>
            <w:pPr>
              <w:pStyle w:val="Compact"/>
            </w:pPr>
            <w:r>
              <w:t xml:space="preserve">–48 591</w:t>
            </w:r>
          </w:p>
        </w:tc>
        <w:tc>
          <w:tcPr/>
          <w:p>
            <w:pPr>
              <w:pStyle w:val="Compact"/>
            </w:pPr>
            <w:r>
              <w:t xml:space="preserve">–2,9%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Январь 2026</w:t>
            </w:r>
          </w:p>
        </w:tc>
        <w:tc>
          <w:tcPr/>
          <w:p>
            <w:pPr>
              <w:pStyle w:val="Compact"/>
            </w:pPr>
            <w:r>
              <w:t xml:space="preserve">1 286 900</w:t>
            </w:r>
          </w:p>
        </w:tc>
        <w:tc>
          <w:tcPr/>
          <w:p>
            <w:pPr>
              <w:pStyle w:val="Compact"/>
            </w:pPr>
            <w:r>
              <w:t xml:space="preserve">207</w:t>
            </w:r>
          </w:p>
        </w:tc>
        <w:tc>
          <w:tcPr/>
          <w:p>
            <w:pPr>
              <w:pStyle w:val="Compact"/>
            </w:pPr>
            <w:r>
              <w:t xml:space="preserve">162</w:t>
            </w:r>
          </w:p>
        </w:tc>
        <w:tc>
          <w:tcPr/>
          <w:p>
            <w:pPr>
              <w:pStyle w:val="Compact"/>
            </w:pPr>
            <w:r>
              <w:t xml:space="preserve">6 217</w:t>
            </w:r>
          </w:p>
        </w:tc>
        <w:tc>
          <w:tcPr/>
          <w:p>
            <w:pPr>
              <w:pStyle w:val="Compact"/>
            </w:pPr>
            <w:r>
              <w:t xml:space="preserve">1 352 656</w:t>
            </w:r>
          </w:p>
        </w:tc>
        <w:tc>
          <w:tcPr/>
          <w:p>
            <w:pPr>
              <w:pStyle w:val="Compact"/>
            </w:pPr>
            <w:r>
              <w:t xml:space="preserve">24 750*</w:t>
            </w:r>
          </w:p>
        </w:tc>
        <w:tc>
          <w:tcPr/>
          <w:p>
            <w:pPr>
              <w:pStyle w:val="Compact"/>
            </w:pPr>
            <w:r>
              <w:t xml:space="preserve">32 000*</w:t>
            </w:r>
          </w:p>
        </w:tc>
        <w:tc>
          <w:tcPr/>
          <w:p>
            <w:pPr>
              <w:pStyle w:val="Compact"/>
            </w:pPr>
            <w:r>
              <w:t xml:space="preserve">65 366</w:t>
            </w:r>
          </w:p>
        </w:tc>
        <w:tc>
          <w:tcPr/>
          <w:p>
            <w:pPr>
              <w:pStyle w:val="Compact"/>
            </w:pPr>
            <w:r>
              <w:t xml:space="preserve">19 555</w:t>
            </w:r>
          </w:p>
        </w:tc>
        <w:tc>
          <w:tcPr/>
          <w:p>
            <w:pPr>
              <w:pStyle w:val="Compact"/>
            </w:pPr>
            <w:r>
              <w:t xml:space="preserve">1 210 985</w:t>
            </w:r>
          </w:p>
        </w:tc>
        <w:tc>
          <w:tcPr/>
          <w:p>
            <w:pPr>
              <w:pStyle w:val="Compact"/>
            </w:pPr>
            <w:r>
              <w:t xml:space="preserve">–65 756</w:t>
            </w:r>
          </w:p>
        </w:tc>
        <w:tc>
          <w:tcPr/>
          <w:p>
            <w:pPr>
              <w:pStyle w:val="Compact"/>
            </w:pPr>
            <w:r>
              <w:t xml:space="preserve">–5,1%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Февраль 2026</w:t>
            </w:r>
          </w:p>
        </w:tc>
        <w:tc>
          <w:tcPr/>
          <w:p>
            <w:pPr>
              <w:pStyle w:val="Compact"/>
            </w:pPr>
            <w:r>
              <w:t xml:space="preserve">1 347 290</w:t>
            </w:r>
          </w:p>
        </w:tc>
        <w:tc>
          <w:tcPr/>
          <w:p>
            <w:pPr>
              <w:pStyle w:val="Compact"/>
            </w:pPr>
            <w:r>
              <w:t xml:space="preserve">210</w:t>
            </w:r>
          </w:p>
        </w:tc>
        <w:tc>
          <w:tcPr/>
          <w:p>
            <w:pPr>
              <w:pStyle w:val="Compact"/>
            </w:pPr>
            <w:r>
              <w:t xml:space="preserve">141</w:t>
            </w:r>
          </w:p>
        </w:tc>
        <w:tc>
          <w:tcPr/>
          <w:p>
            <w:pPr>
              <w:pStyle w:val="Compact"/>
            </w:pPr>
            <w:r>
              <w:t xml:space="preserve">6 416</w:t>
            </w:r>
          </w:p>
        </w:tc>
        <w:tc>
          <w:tcPr/>
          <w:p>
            <w:pPr>
              <w:pStyle w:val="Compact"/>
            </w:pPr>
            <w:r>
              <w:t xml:space="preserve">1 351 041</w:t>
            </w:r>
          </w:p>
        </w:tc>
        <w:tc>
          <w:tcPr/>
          <w:p>
            <w:pPr>
              <w:pStyle w:val="Compact"/>
            </w:pPr>
            <w:r>
              <w:t xml:space="preserve">127 919</w:t>
            </w:r>
          </w:p>
        </w:tc>
        <w:tc>
          <w:tcPr/>
          <w:p>
            <w:pPr>
              <w:pStyle w:val="Compact"/>
            </w:pPr>
            <w:r>
              <w:t xml:space="preserve">54 874</w:t>
            </w:r>
          </w:p>
        </w:tc>
        <w:tc>
          <w:tcPr/>
          <w:p>
            <w:pPr>
              <w:pStyle w:val="Compact"/>
            </w:pPr>
            <w:r>
              <w:t xml:space="preserve">61 093</w:t>
            </w:r>
          </w:p>
        </w:tc>
        <w:tc>
          <w:tcPr/>
          <w:p>
            <w:pPr>
              <w:pStyle w:val="Compact"/>
            </w:pPr>
            <w:r>
              <w:t xml:space="preserve">15 352</w:t>
            </w:r>
          </w:p>
        </w:tc>
        <w:tc>
          <w:tcPr/>
          <w:p>
            <w:pPr>
              <w:pStyle w:val="Compact"/>
            </w:pPr>
            <w:r>
              <w:t xml:space="preserve">1 091 803</w:t>
            </w:r>
          </w:p>
        </w:tc>
        <w:tc>
          <w:tcPr/>
          <w:p>
            <w:pPr>
              <w:pStyle w:val="Compact"/>
            </w:pPr>
            <w:r>
              <w:t xml:space="preserve">–3 751</w:t>
            </w:r>
          </w:p>
        </w:tc>
        <w:tc>
          <w:tcPr/>
          <w:p>
            <w:pPr>
              <w:pStyle w:val="Compact"/>
            </w:pPr>
            <w:r>
              <w:t xml:space="preserve">–0,3%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Март 2026</w:t>
            </w:r>
          </w:p>
        </w:tc>
        <w:tc>
          <w:tcPr/>
          <w:p>
            <w:pPr>
              <w:pStyle w:val="Compact"/>
            </w:pPr>
            <w:r>
              <w:t xml:space="preserve">2 020 650</w:t>
            </w:r>
          </w:p>
        </w:tc>
        <w:tc>
          <w:tcPr/>
          <w:p>
            <w:pPr>
              <w:pStyle w:val="Compact"/>
            </w:pPr>
            <w:r>
              <w:t xml:space="preserve">294</w:t>
            </w:r>
          </w:p>
        </w:tc>
        <w:tc>
          <w:tcPr/>
          <w:p>
            <w:pPr>
              <w:pStyle w:val="Compact"/>
            </w:pPr>
            <w:r>
              <w:t xml:space="preserve">197</w:t>
            </w:r>
          </w:p>
        </w:tc>
        <w:tc>
          <w:tcPr/>
          <w:p>
            <w:pPr>
              <w:pStyle w:val="Compact"/>
            </w:pPr>
            <w:r>
              <w:t xml:space="preserve">6 873</w:t>
            </w:r>
          </w:p>
        </w:tc>
        <w:tc>
          <w:tcPr/>
          <w:p>
            <w:pPr>
              <w:pStyle w:val="Compact"/>
            </w:pPr>
            <w:r>
              <w:t xml:space="preserve">1 374 659</w:t>
            </w:r>
          </w:p>
        </w:tc>
        <w:tc>
          <w:tcPr/>
          <w:p>
            <w:pPr>
              <w:pStyle w:val="Compact"/>
            </w:pPr>
            <w:r>
              <w:t xml:space="preserve">95 745</w:t>
            </w:r>
          </w:p>
        </w:tc>
        <w:tc>
          <w:tcPr/>
          <w:p>
            <w:pPr>
              <w:pStyle w:val="Compact"/>
            </w:pPr>
            <w:r>
              <w:t xml:space="preserve">63 830</w:t>
            </w:r>
          </w:p>
        </w:tc>
        <w:tc>
          <w:tcPr/>
          <w:p>
            <w:pPr>
              <w:pStyle w:val="Compact"/>
            </w:pPr>
            <w:r>
              <w:t xml:space="preserve">101 508</w:t>
            </w:r>
          </w:p>
        </w:tc>
        <w:tc>
          <w:tcPr/>
          <w:p>
            <w:pPr>
              <w:pStyle w:val="Compact"/>
            </w:pPr>
            <w:r>
              <w:t xml:space="preserve">24 634</w:t>
            </w:r>
          </w:p>
        </w:tc>
        <w:tc>
          <w:tcPr/>
          <w:p>
            <w:pPr>
              <w:pStyle w:val="Compact"/>
            </w:pPr>
            <w:r>
              <w:t xml:space="preserve">1 088 942</w:t>
            </w:r>
          </w:p>
        </w:tc>
        <w:tc>
          <w:tcPr/>
          <w:p>
            <w:pPr>
              <w:pStyle w:val="Compact"/>
            </w:pPr>
            <w:r>
              <w:t xml:space="preserve">645 991</w:t>
            </w:r>
          </w:p>
        </w:tc>
        <w:tc>
          <w:tcPr/>
          <w:p>
            <w:pPr>
              <w:pStyle w:val="Compact"/>
            </w:pPr>
            <w:r>
              <w:t xml:space="preserve">31,9%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Апрель 2026</w:t>
            </w:r>
          </w:p>
        </w:tc>
        <w:tc>
          <w:tcPr/>
          <w:p>
            <w:pPr>
              <w:pStyle w:val="Compact"/>
            </w:pPr>
            <w:r>
              <w:t xml:space="preserve">403 020</w:t>
            </w:r>
          </w:p>
        </w:tc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5 841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11 872 590</w:t>
            </w:r>
          </w:p>
        </w:tc>
        <w:tc>
          <w:tcPr/>
          <w:p>
            <w:pPr>
              <w:pStyle w:val="Compact"/>
            </w:pPr>
            <w:r>
              <w:t xml:space="preserve">1 793</w:t>
            </w:r>
          </w:p>
        </w:tc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8 419 134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2 936 839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798 598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339 758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90 405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4 252 604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3 453 456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29,1%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Средн/мес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1 696 084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6 622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1 203 362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419 490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114 028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48 513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12 915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607 515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493 351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29,1%</w:t>
            </w:r>
          </w:p>
        </w:tc>
      </w:tr>
    </w:tbl>
    <w:p>
      <w:pPr>
        <w:pStyle w:val="BodyText"/>
      </w:pPr>
      <w:r>
        <w:rPr>
          <w:i/>
          <w:iCs/>
        </w:rPr>
        <w:t xml:space="preserve">*В январе 2026 выплата преподавателям и коллективу отражена частично (точные суммы неизвестны), что искажает «Прочие» и маржу.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Выручка и чеки:</w:t>
      </w:r>
      <w:r>
        <w:t xml:space="preserve"> </w:t>
      </w:r>
      <w:r>
        <w:t xml:space="preserve">Октябрь был рекордным, средний чек достиг 8,2 тыс ₽. Осенью–зимой выручка упала, но в марте снова выросла до ≈2,02 млн ₽.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Структура расходов:</w:t>
      </w:r>
      <w:r>
        <w:t xml:space="preserve"> </w:t>
      </w:r>
      <w:r>
        <w:t xml:space="preserve">На преподавателей уходит львиная доля, о чём намекает и кейс «Нескучных» (прямые расходы на учителей – основа себестоимости</w:t>
      </w:r>
      <w:hyperlink r:id="rId24">
        <w:r>
          <w:rPr>
            <w:rStyle w:val="Hyperlink"/>
          </w:rPr>
          <w:t xml:space="preserve">[4]</w:t>
        </w:r>
      </w:hyperlink>
      <w:r>
        <w:t xml:space="preserve">). Например, в «Онлайн-школе Аура» преподаватели получали ~50–60% от цены курса</w:t>
      </w:r>
      <w:hyperlink r:id="rId22">
        <w:r>
          <w:rPr>
            <w:rStyle w:val="Hyperlink"/>
          </w:rPr>
          <w:t xml:space="preserve">[2]</w:t>
        </w:r>
      </w:hyperlink>
      <w:r>
        <w:t xml:space="preserve">. У нас аналогично – около 50% в октябре, до 75% в другие месяцы. Штатные выплаты значительно меньше.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Валовая маржа:</w:t>
      </w:r>
      <w:r>
        <w:t xml:space="preserve"> </w:t>
      </w:r>
      <w:r>
        <w:t xml:space="preserve">Рассчитана как (Выручка – Расходы). Сильно колебалась: ≈68% в октябре, почти 0% зимой, ~32% в марте. Средняя за период – ~29%. В кейсах рекомендуется держать маржу не ниже 20–30%</w:t>
      </w:r>
      <w:hyperlink r:id="rId24">
        <w:r>
          <w:rPr>
            <w:rStyle w:val="Hyperlink"/>
          </w:rPr>
          <w:t xml:space="preserve">[4]</w:t>
        </w:r>
      </w:hyperlink>
      <w:r>
        <w:t xml:space="preserve">. Наша маржа очень высокая в октябре, но отрицательная в декабре-январе из-за сезонных выплат.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Повторы и LTV:</w:t>
      </w:r>
      <w:r>
        <w:t xml:space="preserve"> </w:t>
      </w:r>
      <w:r>
        <w:t xml:space="preserve">Повторные продажи обеспечили ~69% всех клиентов (&gt;1 заказ), что соответствует «качественному продукту»</w:t>
      </w:r>
      <w:hyperlink r:id="rId23">
        <w:r>
          <w:rPr>
            <w:rStyle w:val="Hyperlink"/>
          </w:rPr>
          <w:t xml:space="preserve">[3]</w:t>
        </w:r>
      </w:hyperlink>
      <w:r>
        <w:t xml:space="preserve">. Средняя покупок на клиента ≈4,18 (высоко, т.к. многие берут многоблочные курсы). «Срок жизни» клиента (между первым и последним платежом) – медиана ~1,9 мес, среднее ~2,3 мес.</w:t>
      </w:r>
      <w:r>
        <w:t xml:space="preserve"> </w:t>
      </w:r>
      <w:r>
        <w:rPr>
          <w:b/>
          <w:bCs/>
        </w:rPr>
        <w:t xml:space="preserve">LTV</w:t>
      </w:r>
      <w:r>
        <w:t xml:space="preserve"> </w:t>
      </w:r>
      <w:r>
        <w:t xml:space="preserve">(выручка за жизнь клиента с учётом маржи) – около</w:t>
      </w:r>
      <w:r>
        <w:t xml:space="preserve"> </w:t>
      </w:r>
      <w:r>
        <w:rPr>
          <w:b/>
          <w:bCs/>
        </w:rPr>
        <w:t xml:space="preserve">24,5 тыс ₽</w:t>
      </w:r>
      <w:r>
        <w:t xml:space="preserve">. Это LTV умножено на маржинальность (≈29%) даёт ~7–8 тыс ₽ прибыли с клиента. По рекомендациям «Нескучных», траты на привлечение (CAC) должны оставаться значительно ниже этого (например, ≤30% LTV</w:t>
      </w:r>
      <w:hyperlink r:id="rId25">
        <w:r>
          <w:rPr>
            <w:rStyle w:val="Hyperlink"/>
          </w:rPr>
          <w:t xml:space="preserve">[5]</w:t>
        </w:r>
      </w:hyperlink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bar</w:t>
      </w:r>
      <w:r>
        <w:br/>
      </w:r>
      <w:r>
        <w:rPr>
          <w:rStyle w:val="VerbatimChar"/>
        </w:rPr>
        <w:t xml:space="preserve">    title Выручка vs Расходы (млн ₽) по месяцам</w:t>
      </w:r>
      <w:r>
        <w:br/>
      </w:r>
      <w:r>
        <w:rPr>
          <w:rStyle w:val="VerbatimChar"/>
        </w:rPr>
        <w:t xml:space="preserve">    "Окт 2025": 3.50, 1.12</w:t>
      </w:r>
      <w:r>
        <w:br/>
      </w:r>
      <w:r>
        <w:rPr>
          <w:rStyle w:val="VerbatimChar"/>
        </w:rPr>
        <w:t xml:space="preserve">    "Ноя 2025": 1.64, 1.49</w:t>
      </w:r>
      <w:r>
        <w:br/>
      </w:r>
      <w:r>
        <w:rPr>
          <w:rStyle w:val="VerbatimChar"/>
        </w:rPr>
        <w:t xml:space="preserve">    "Дек 2025": 1.68, 1.73</w:t>
      </w:r>
      <w:r>
        <w:br/>
      </w:r>
      <w:r>
        <w:rPr>
          <w:rStyle w:val="VerbatimChar"/>
        </w:rPr>
        <w:t xml:space="preserve">    "Янв 2026": 1.29, 1.35</w:t>
      </w:r>
      <w:r>
        <w:br/>
      </w:r>
      <w:r>
        <w:rPr>
          <w:rStyle w:val="VerbatimChar"/>
        </w:rPr>
        <w:t xml:space="preserve">    "Фев 2026": 1.35, 1.35</w:t>
      </w:r>
      <w:r>
        <w:br/>
      </w:r>
      <w:r>
        <w:rPr>
          <w:rStyle w:val="VerbatimChar"/>
        </w:rPr>
        <w:t xml:space="preserve">    "Март 2026": 2.02, 1.37</w:t>
      </w:r>
      <w:r>
        <w:br/>
      </w:r>
      <w:r>
        <w:rPr>
          <w:rStyle w:val="VerbatimChar"/>
        </w:rPr>
        <w:t xml:space="preserve">    legend right</w:t>
      </w:r>
      <w:r>
        <w:br/>
      </w:r>
      <w:r>
        <w:rPr>
          <w:rStyle w:val="VerbatimChar"/>
        </w:rPr>
        <w:t xml:space="preserve">    x-axis Месяцы</w:t>
      </w:r>
      <w:r>
        <w:br/>
      </w:r>
      <w:r>
        <w:rPr>
          <w:rStyle w:val="VerbatimChar"/>
        </w:rPr>
        <w:t xml:space="preserve">    y-axis Миллионы ₽</w:t>
      </w:r>
    </w:p>
    <w:p>
      <w:pPr>
        <w:pStyle w:val="SourceCode"/>
      </w:pPr>
      <w:r>
        <w:rPr>
          <w:rStyle w:val="VerbatimChar"/>
        </w:rPr>
        <w:t xml:space="preserve">bar</w:t>
      </w:r>
      <w:r>
        <w:br/>
      </w:r>
      <w:r>
        <w:rPr>
          <w:rStyle w:val="VerbatimChar"/>
        </w:rPr>
        <w:t xml:space="preserve">    title Валовая маржа (%) по месяцам</w:t>
      </w:r>
      <w:r>
        <w:br/>
      </w:r>
      <w:r>
        <w:rPr>
          <w:rStyle w:val="VerbatimChar"/>
        </w:rPr>
        <w:t xml:space="preserve">    "Окт 2025": 68</w:t>
      </w:r>
      <w:r>
        <w:br/>
      </w:r>
      <w:r>
        <w:rPr>
          <w:rStyle w:val="VerbatimChar"/>
        </w:rPr>
        <w:t xml:space="preserve">    "Ноя 2025": 9</w:t>
      </w:r>
      <w:r>
        <w:br/>
      </w:r>
      <w:r>
        <w:rPr>
          <w:rStyle w:val="VerbatimChar"/>
        </w:rPr>
        <w:t xml:space="preserve">    "Дек 2025": -3</w:t>
      </w:r>
      <w:r>
        <w:br/>
      </w:r>
      <w:r>
        <w:rPr>
          <w:rStyle w:val="VerbatimChar"/>
        </w:rPr>
        <w:t xml:space="preserve">    "Янв 2026": -5</w:t>
      </w:r>
      <w:r>
        <w:br/>
      </w:r>
      <w:r>
        <w:rPr>
          <w:rStyle w:val="VerbatimChar"/>
        </w:rPr>
        <w:t xml:space="preserve">    "Фев 2026": 0</w:t>
      </w:r>
      <w:r>
        <w:br/>
      </w:r>
      <w:r>
        <w:rPr>
          <w:rStyle w:val="VerbatimChar"/>
        </w:rPr>
        <w:t xml:space="preserve">    "Март 2026": 32</w:t>
      </w:r>
      <w:r>
        <w:br/>
      </w:r>
      <w:r>
        <w:rPr>
          <w:rStyle w:val="VerbatimChar"/>
        </w:rPr>
        <w:t xml:space="preserve">    legend right</w:t>
      </w:r>
      <w:r>
        <w:br/>
      </w:r>
      <w:r>
        <w:rPr>
          <w:rStyle w:val="VerbatimChar"/>
        </w:rPr>
        <w:t xml:space="preserve">    x-axis Месяцы</w:t>
      </w:r>
      <w:r>
        <w:br/>
      </w:r>
      <w:r>
        <w:rPr>
          <w:rStyle w:val="VerbatimChar"/>
        </w:rPr>
        <w:t xml:space="preserve">    y-axis Вал. маржа (%)</w:t>
      </w:r>
    </w:p>
    <w:p>
      <w:pPr>
        <w:pStyle w:val="SourceCode"/>
      </w:pPr>
      <w:r>
        <w:rPr>
          <w:rStyle w:val="VerbatimChar"/>
        </w:rPr>
        <w:t xml:space="preserve">bar</w:t>
      </w:r>
      <w:r>
        <w:br/>
      </w:r>
      <w:r>
        <w:rPr>
          <w:rStyle w:val="VerbatimChar"/>
        </w:rPr>
        <w:t xml:space="preserve">    title Структура расходов – Октябрь 2025</w:t>
      </w:r>
      <w:r>
        <w:br/>
      </w:r>
      <w:r>
        <w:rPr>
          <w:rStyle w:val="VerbatimChar"/>
        </w:rPr>
        <w:t xml:space="preserve">    "Преподы": 51</w:t>
      </w:r>
      <w:r>
        <w:br/>
      </w:r>
      <w:r>
        <w:rPr>
          <w:rStyle w:val="VerbatimChar"/>
        </w:rPr>
        <w:t xml:space="preserve">    "Коллектив": 21</w:t>
      </w:r>
      <w:r>
        <w:br/>
      </w:r>
      <w:r>
        <w:rPr>
          <w:rStyle w:val="VerbatimChar"/>
        </w:rPr>
        <w:t xml:space="preserve">    "Налоги": 10</w:t>
      </w:r>
      <w:r>
        <w:br/>
      </w:r>
      <w:r>
        <w:rPr>
          <w:rStyle w:val="VerbatimChar"/>
        </w:rPr>
        <w:t xml:space="preserve">    "Банк": 3</w:t>
      </w:r>
      <w:r>
        <w:br/>
      </w:r>
      <w:r>
        <w:rPr>
          <w:rStyle w:val="VerbatimChar"/>
        </w:rPr>
        <w:t xml:space="preserve">    "Прочие": 15</w:t>
      </w:r>
      <w:r>
        <w:br/>
      </w:r>
      <w:r>
        <w:rPr>
          <w:rStyle w:val="VerbatimChar"/>
        </w:rPr>
        <w:t xml:space="preserve">    legend right</w:t>
      </w:r>
      <w:r>
        <w:br/>
      </w:r>
      <w:r>
        <w:rPr>
          <w:rStyle w:val="VerbatimChar"/>
        </w:rPr>
        <w:t xml:space="preserve">    x-axis Категории</w:t>
      </w:r>
      <w:r>
        <w:br/>
      </w:r>
      <w:r>
        <w:rPr>
          <w:rStyle w:val="VerbatimChar"/>
        </w:rPr>
        <w:t xml:space="preserve">    y-axis % от расходов</w:t>
      </w:r>
    </w:p>
    <w:p>
      <w:pPr>
        <w:pStyle w:val="FirstParagraph"/>
      </w:pPr>
      <w:r>
        <w:rPr>
          <w:b/>
          <w:bCs/>
        </w:rPr>
        <w:t xml:space="preserve">Выводы:</w:t>
      </w:r>
      <w:r>
        <w:t xml:space="preserve"> </w:t>
      </w:r>
      <w:r>
        <w:t xml:space="preserve">наша школа сравнима по показателям с другими онлайн-образовательными проектами. Высокая доля «Преподов» в расходах (до 75%) – обычное явление (в том же кейсе «Аура» преподавателям уходило 40–60% выручки)</w:t>
      </w:r>
      <w:hyperlink r:id="rId22">
        <w:r>
          <w:rPr>
            <w:rStyle w:val="Hyperlink"/>
          </w:rPr>
          <w:t xml:space="preserve">[2]</w:t>
        </w:r>
      </w:hyperlink>
      <w:r>
        <w:t xml:space="preserve">. Главное – контролировать эту долю и конверсию повторных продаж.</w:t>
      </w:r>
    </w:p>
    <w:bookmarkStart w:id="26" w:name="листы-и-используемые-данные"/>
    <w:p>
      <w:pPr>
        <w:pStyle w:val="Heading2"/>
      </w:pPr>
      <w:r>
        <w:t xml:space="preserve">1. Листы и используемые данные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Листы оплаты:</w:t>
      </w:r>
      <w:r>
        <w:t xml:space="preserve"> </w:t>
      </w:r>
      <w:r>
        <w:rPr>
          <w:i/>
          <w:iCs/>
        </w:rPr>
        <w:t xml:space="preserve">Студенты_Оплаты 08.04.26.xlsx</w:t>
      </w:r>
      <w:r>
        <w:t xml:space="preserve"> </w:t>
      </w:r>
      <w:r>
        <w:t xml:space="preserve">(лист «Оплаты») – используется для выручки. (Другие листы: «Студенты», «Курсы», «Блоки курсов» служат лишь справке; «Оплаты» – главный.)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Листы расходов:</w:t>
      </w:r>
      <w:r>
        <w:t xml:space="preserve"> </w:t>
      </w:r>
      <w:r>
        <w:rPr>
          <w:i/>
          <w:iCs/>
        </w:rPr>
        <w:t xml:space="preserve">Расходы по ИП 08.04.26.xlsx</w:t>
      </w:r>
      <w:r>
        <w:t xml:space="preserve"> </w:t>
      </w:r>
      <w:r>
        <w:t xml:space="preserve">– листы «Октябрь 2025», …, «Март 2026». Каждая – один месяц. (Файл</w:t>
      </w:r>
      <w:r>
        <w:t xml:space="preserve"> </w:t>
      </w:r>
      <w:r>
        <w:rPr>
          <w:i/>
          <w:iCs/>
        </w:rPr>
        <w:t xml:space="preserve">Расходы по ИП.xlsx</w:t>
      </w:r>
      <w:r>
        <w:t xml:space="preserve"> </w:t>
      </w:r>
      <w:r>
        <w:t xml:space="preserve">был проигнорирован как дублирующий или устаревший.) Мы обошли все листы полностью.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Неслужебные листы:</w:t>
      </w:r>
      <w:r>
        <w:t xml:space="preserve"> </w:t>
      </w:r>
      <w:r>
        <w:t xml:space="preserve">«Доп. таблицы», «Студенты-курсы» и «Импорт студентов» в файле оплате не использовались, т.к. они не содержат релевантных транзакций или сумм.</w:t>
      </w:r>
    </w:p>
    <w:p>
      <w:pPr>
        <w:pStyle w:val="FirstParagraph"/>
      </w:pPr>
      <w:r>
        <w:rPr>
          <w:b/>
          <w:bCs/>
        </w:rPr>
        <w:t xml:space="preserve">Месяц ↔ Лист:</w:t>
      </w:r>
      <w:r>
        <w:t xml:space="preserve"> </w:t>
      </w:r>
      <w:r>
        <w:t xml:space="preserve">явной неоднозначности нет: листы названы соответствующими месяцам. Мы зафиксировали это отображение.</w:t>
      </w:r>
    </w:p>
    <w:bookmarkEnd w:id="26"/>
    <w:bookmarkStart w:id="27" w:name="расчёт-метрик-по-месяцам"/>
    <w:p>
      <w:pPr>
        <w:pStyle w:val="Heading2"/>
      </w:pPr>
      <w:r>
        <w:t xml:space="preserve">2. Расчёт метрик по месяцам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Выручка</w:t>
      </w:r>
      <w:r>
        <w:t xml:space="preserve"> </w:t>
      </w:r>
      <w:r>
        <w:t xml:space="preserve">– сумма оплаты по всем сделкам за месяц (столбец «Оплата (руб.)»).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Платежи</w:t>
      </w:r>
      <w:r>
        <w:t xml:space="preserve"> </w:t>
      </w:r>
      <w:r>
        <w:t xml:space="preserve">– число строк (транзакций) за месяц.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Клиенты</w:t>
      </w:r>
      <w:r>
        <w:t xml:space="preserve"> </w:t>
      </w:r>
      <w:r>
        <w:t xml:space="preserve">– число уникальных учащихся, заплативших в этом месяце.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Средний чек</w:t>
      </w:r>
      <w:r>
        <w:t xml:space="preserve"> </w:t>
      </w:r>
      <w:r>
        <w:t xml:space="preserve">– Выручка / Платежи.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Всего расходов</w:t>
      </w:r>
      <w:r>
        <w:t xml:space="preserve"> </w:t>
      </w:r>
      <w:r>
        <w:t xml:space="preserve">– сумма всех трат месяца (столбец «Сумма»).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Преподы, Коллектив, Налоги, Банк</w:t>
      </w:r>
      <w:r>
        <w:t xml:space="preserve"> </w:t>
      </w:r>
      <w:r>
        <w:t xml:space="preserve">– суммируются по ключевым словам в «Наименование» (например, фамилии преподавателей, названия налогов, слова «касса», «Точка»). Если получилось нечетко (см. раздел 5), остаток идёт в «Прочие».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Валовая прибыль</w:t>
      </w:r>
      <w:r>
        <w:t xml:space="preserve"> </w:t>
      </w:r>
      <w:r>
        <w:t xml:space="preserve">= Выручка – Всего расходов.</w:t>
      </w:r>
      <w:r>
        <w:t xml:space="preserve"> </w:t>
      </w:r>
      <w:r>
        <w:rPr>
          <w:b/>
          <w:bCs/>
        </w:rPr>
        <w:t xml:space="preserve">Вал. маржа</w:t>
      </w:r>
      <w:r>
        <w:t xml:space="preserve"> </w:t>
      </w:r>
      <w:r>
        <w:t xml:space="preserve">= (Вал. прибыль / Выручка)×100%.</w:t>
      </w:r>
    </w:p>
    <w:p>
      <w:pPr>
        <w:pStyle w:val="FirstParagraph"/>
      </w:pPr>
      <w:r>
        <w:t xml:space="preserve">Все расчёты выполнены программно (псевдокод см. Приложение).</w:t>
      </w:r>
    </w:p>
    <w:bookmarkEnd w:id="27"/>
    <w:bookmarkStart w:id="29" w:name="когортный-и-ретеншн-анализ"/>
    <w:p>
      <w:pPr>
        <w:pStyle w:val="Heading2"/>
      </w:pPr>
      <w:r>
        <w:t xml:space="preserve">3. Когортный и ретеншн-анализ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Повторные покупки:</w:t>
      </w:r>
      <w:r>
        <w:t xml:space="preserve"> </w:t>
      </w:r>
      <w:r>
        <w:t xml:space="preserve">из 429 клиентов за период 68,8% сделали более одного платежа. Это высокий показатель – в</w:t>
      </w:r>
      <w:r>
        <w:t xml:space="preserve"> </w:t>
      </w:r>
      <w:r>
        <w:rPr>
          <w:b/>
          <w:bCs/>
        </w:rPr>
        <w:t xml:space="preserve">Noboring Finance</w:t>
      </w:r>
      <w:r>
        <w:t xml:space="preserve"> </w:t>
      </w:r>
      <w:r>
        <w:t xml:space="preserve">повторная выручка признаётся «одним из самых ценных источников дохода»</w:t>
      </w:r>
      <w:hyperlink r:id="rId23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Когортная таблица:</w:t>
      </w:r>
      <w:r>
        <w:t xml:space="preserve"> </w:t>
      </w:r>
      <w:r>
        <w:t xml:space="preserve">(упрощённо) из клиентов, пришедших в октябре, 65% вернулись в ноябре, 57% – в декабре и т.д. У осенних когорт retention выше, чем у зимних.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Среднее количество покупок:</w:t>
      </w:r>
      <w:r>
        <w:t xml:space="preserve"> </w:t>
      </w:r>
      <w:r>
        <w:t xml:space="preserve">≈4,18 на клиента. (В среднем один клиент несколько раз покупает подряд.)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Срок жизни клиента:</w:t>
      </w:r>
      <w:r>
        <w:t xml:space="preserve"> </w:t>
      </w:r>
      <w:r>
        <w:t xml:space="preserve">среднем ≈2,3 месяца (медиана 1,9 мес). То есть, если клиент сделал первый платёж, обычно он сделает еще один-два в ближайшие 1–3 месяца.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A[Когорта 2025-10: 270 чел] --&gt;|65% вернулись| B[Окт→Ноя]</w:t>
      </w:r>
      <w:r>
        <w:br/>
      </w:r>
      <w:r>
        <w:rPr>
          <w:rStyle w:val="VerbatimChar"/>
        </w:rPr>
        <w:t xml:space="preserve">    A --&gt;|57% вернулись| C[Окт→Дек]</w:t>
      </w:r>
      <w:r>
        <w:br/>
      </w:r>
      <w:r>
        <w:rPr>
          <w:rStyle w:val="VerbatimChar"/>
        </w:rPr>
        <w:t xml:space="preserve">    A --&gt;|44% вернулись| D[Окт→Янв]</w:t>
      </w:r>
      <w:r>
        <w:br/>
      </w:r>
      <w:r>
        <w:rPr>
          <w:rStyle w:val="VerbatimChar"/>
        </w:rPr>
        <w:t xml:space="preserve">    E[Когорта 2025-11: 299 чел] --&gt;|~35% вернулись| F[Ноя→Дек]</w:t>
      </w:r>
      <w:r>
        <w:br/>
      </w:r>
      <w:r>
        <w:rPr>
          <w:rStyle w:val="VerbatimChar"/>
        </w:rPr>
        <w:t xml:space="preserve">    A &amp; E --&gt; G[Повторные продажи повышают LTV[3]]</w:t>
      </w:r>
    </w:p>
    <w:p>
      <w:pPr>
        <w:pStyle w:val="FirstParagraph"/>
      </w:pPr>
      <w:r>
        <w:t xml:space="preserve">(Детальную когорту см. код в Приложении.) Высокий</w:t>
      </w:r>
      <w:r>
        <w:t xml:space="preserve"> </w:t>
      </w:r>
      <w:r>
        <w:rPr>
          <w:b/>
          <w:bCs/>
        </w:rPr>
        <w:t xml:space="preserve">Retention</w:t>
      </w:r>
      <w:r>
        <w:t xml:space="preserve"> </w:t>
      </w:r>
      <w:r>
        <w:t xml:space="preserve">подтверждает, что продукт ценен для клиентов и эффективны методы удержания. Это важно: кейсы образовательных проектов подчёркивают, что без повторных продаж маржа падает</w:t>
      </w:r>
      <w:hyperlink r:id="rId28">
        <w:r>
          <w:rPr>
            <w:rStyle w:val="Hyperlink"/>
          </w:rPr>
          <w:t xml:space="preserve">[6]</w:t>
        </w:r>
      </w:hyperlink>
      <w:r>
        <w:t xml:space="preserve">.</w:t>
      </w:r>
    </w:p>
    <w:bookmarkEnd w:id="29"/>
    <w:bookmarkStart w:id="30" w:name="расчёт-ltv-и-чувствительность"/>
    <w:p>
      <w:pPr>
        <w:pStyle w:val="Heading2"/>
      </w:pPr>
      <w:r>
        <w:t xml:space="preserve">4. Расчёт LTV и чувствительность</w:t>
      </w:r>
    </w:p>
    <w:p>
      <w:pPr>
        <w:pStyle w:val="FirstParagraph"/>
      </w:pPr>
      <w:r>
        <w:t xml:space="preserve">Используем формулу:</w:t>
      </w:r>
      <w:r>
        <w:t xml:space="preserve"> </w:t>
      </w:r>
      <w:r>
        <w:rPr>
          <w:b/>
          <w:bCs/>
        </w:rPr>
        <w:t xml:space="preserve">LTV = (Выручка/клиент) × (Средние покупки/клиент) × Маржа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По данным каждого месяца: напр., в октябре ARPU ≈12 949 ₽, средних покупок на клиент ≈1,58, маржа 68%, получается LTV≈13 913 ₽.</w:t>
      </w:r>
    </w:p>
    <w:p>
      <w:pPr>
        <w:pStyle w:val="Compact"/>
        <w:numPr>
          <w:ilvl w:val="0"/>
          <w:numId w:val="1005"/>
        </w:numPr>
      </w:pPr>
      <w:r>
        <w:t xml:space="preserve">Для всех 7 месяцев: общ. выручка 11,872,590 ₽, 429 клиентов, ARPU≈27,678 ₽, средних покупок≈4,18, маржа≈29%, LTV≈33,641 ₽ (т.к. клиенты делают несколько покупок за период).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Чувствительность:</w:t>
      </w:r>
      <w:r>
        <w:t xml:space="preserve"> </w:t>
      </w:r>
      <w:r>
        <w:t xml:space="preserve">снизим/повысим маржу и частоту покупок на ±10% и ±20%: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Низкий сценарий</w:t>
      </w:r>
      <w:r>
        <w:t xml:space="preserve"> </w:t>
      </w:r>
      <w:r>
        <w:t xml:space="preserve">(-20% на оба фактора): LTV ≈ 25 000 ₽.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Базовый</w:t>
      </w:r>
      <w:r>
        <w:t xml:space="preserve"> </w:t>
      </w:r>
      <w:r>
        <w:t xml:space="preserve">(0% изменение): LTV ≈ 33 600 ₽.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Высокий</w:t>
      </w:r>
      <w:r>
        <w:t xml:space="preserve"> </w:t>
      </w:r>
      <w:r>
        <w:t xml:space="preserve">(+20% на оба): LTV ≈ 47 000 ₽.</w:t>
      </w:r>
    </w:p>
    <w:p>
      <w:pPr>
        <w:pStyle w:val="FirstParagraph"/>
      </w:pPr>
      <w:r>
        <w:t xml:space="preserve">То есть LTV лежит в ориентире</w:t>
      </w:r>
      <w:r>
        <w:t xml:space="preserve"> </w:t>
      </w:r>
      <w:r>
        <w:rPr>
          <w:b/>
          <w:bCs/>
        </w:rPr>
        <w:t xml:space="preserve">~25–50 тыс ₽</w:t>
      </w:r>
      <w:r>
        <w:t xml:space="preserve"> </w:t>
      </w:r>
      <w:r>
        <w:t xml:space="preserve">с учетом допущений. Эти метрики помогают планировать маркетинг: например, если LTV ~30 000 ₽, то согласно</w:t>
      </w:r>
      <w:r>
        <w:t xml:space="preserve"> </w:t>
      </w:r>
      <w:r>
        <w:rPr>
          <w:b/>
          <w:bCs/>
        </w:rPr>
        <w:t xml:space="preserve">Noboring Finance</w:t>
      </w:r>
      <w:r>
        <w:t xml:space="preserve"> </w:t>
      </w:r>
      <w:r>
        <w:t xml:space="preserve">CAC допустимо держать &lt;10 000 ₽</w:t>
      </w:r>
      <w:hyperlink r:id="rId25">
        <w:r>
          <w:rPr>
            <w:rStyle w:val="Hyperlink"/>
          </w:rPr>
          <w:t xml:space="preserve">[5]</w:t>
        </w:r>
      </w:hyperlink>
      <w:r>
        <w:t xml:space="preserve">.</w:t>
      </w:r>
    </w:p>
    <w:bookmarkEnd w:id="30"/>
    <w:bookmarkStart w:id="31" w:name="качество-данных-и-допущения"/>
    <w:p>
      <w:pPr>
        <w:pStyle w:val="Heading2"/>
      </w:pPr>
      <w:r>
        <w:t xml:space="preserve">5. Качество данных и допущения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Погрешности по январю:</w:t>
      </w:r>
      <w:r>
        <w:t xml:space="preserve"> </w:t>
      </w:r>
      <w:r>
        <w:t xml:space="preserve">как видно, в январе 2026 почти отсутствуют расходы на преподавателей/штат – вероятно, часть данных отсутствует или учёт ведется позже. Поэтому значения «Прочие» и маржа в январе и феврале искажены (из-за переноса зарплат). Это мы пометили звёздочкой. Эти месяцы учтены для полноты, но требуют корректировок после уточнения.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Дата покупки:</w:t>
      </w:r>
      <w:r>
        <w:t xml:space="preserve"> </w:t>
      </w:r>
      <w:r>
        <w:t xml:space="preserve">используем</w:t>
      </w:r>
      <w:r>
        <w:t xml:space="preserve"> </w:t>
      </w:r>
      <w:r>
        <w:rPr>
          <w:b/>
          <w:bCs/>
        </w:rPr>
        <w:t xml:space="preserve">дату платежа</w:t>
      </w:r>
      <w:r>
        <w:t xml:space="preserve"> </w:t>
      </w:r>
      <w:r>
        <w:t xml:space="preserve">как дату покупки. Это оправдано: фактически клиент оплачивает курс в момент перечисления. Предоплаты пересчитывали один к одному.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Возвраты:</w:t>
      </w:r>
      <w:r>
        <w:t xml:space="preserve"> </w:t>
      </w:r>
      <w:r>
        <w:t xml:space="preserve">не обнаружены явные отрицательные записи, предполагаем их отсутствие.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Категоризация расходов:</w:t>
      </w:r>
      <w:r>
        <w:t xml:space="preserve"> </w:t>
      </w:r>
      <w:r>
        <w:t xml:space="preserve">прямой легенды цветов нет. Мы исходили из смыслового содержимого: фамилии преподавателей – в «Преподы», выплаты сотрудников – в «Коллектив», слова «налог», «взнос» – в Налоги, «касса», «Точка» – в Банк. Все остальное – «Прочие». Такое допущение допустимо, но надо подтвердить у бухгалтера.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Охват периода:</w:t>
      </w:r>
      <w:r>
        <w:t xml:space="preserve"> </w:t>
      </w:r>
      <w:r>
        <w:t xml:space="preserve">учтены месяцы октябрь 2025 – март 2026 (расходы) и октябрь 2025 – апрель 2026 (платежи). Согласованно: показателей сентября 2025 и позже апреля 2026 нет (кроме упоминаний платежей весной ’26), поэтому мы включили апрель по платежам, но без расходов (его жёлтым цветом).</w:t>
      </w:r>
    </w:p>
    <w:bookmarkEnd w:id="31"/>
    <w:bookmarkStart w:id="32" w:name="сравнение-с-кейсами-noboring-finance"/>
    <w:p>
      <w:pPr>
        <w:pStyle w:val="Heading2"/>
      </w:pPr>
      <w:r>
        <w:t xml:space="preserve">6. Сравнение с кейсами Noboring Finance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Маржинальность:</w:t>
      </w:r>
      <w:r>
        <w:t xml:space="preserve"> </w:t>
      </w:r>
      <w:r>
        <w:t xml:space="preserve">В кейсе онлайн-школы «Аура» авторы подчёркивают, что при изменении тарифов нужно «заложить комиссию банка, чтобы сохранить маржинальность»</w:t>
      </w:r>
      <w:hyperlink r:id="rId22">
        <w:r>
          <w:rPr>
            <w:rStyle w:val="Hyperlink"/>
          </w:rPr>
          <w:t xml:space="preserve">[2]</w:t>
        </w:r>
      </w:hyperlink>
      <w:r>
        <w:t xml:space="preserve">. Мы видим: когда привязка цен исправна, маржа держится на 30–70%. В противном случае (как у «Лингвистика»</w:t>
      </w:r>
      <w:hyperlink r:id="rId28">
        <w:r>
          <w:rPr>
            <w:rStyle w:val="Hyperlink"/>
          </w:rPr>
          <w:t xml:space="preserve">[6]</w:t>
        </w:r>
      </w:hyperlink>
      <w:r>
        <w:t xml:space="preserve">) бизнес может терпеть убытки. Наши показатели (~30% в среднем) соответствуют успешному уровню.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Повторы:</w:t>
      </w:r>
      <w:r>
        <w:t xml:space="preserve"> </w:t>
      </w:r>
      <w:r>
        <w:t xml:space="preserve">«Нескучные» называют повторные продажи «одним из самых ценных доходов»</w:t>
      </w:r>
      <w:hyperlink r:id="rId23">
        <w:r>
          <w:rPr>
            <w:rStyle w:val="Hyperlink"/>
          </w:rPr>
          <w:t xml:space="preserve">[3]</w:t>
        </w:r>
      </w:hyperlink>
      <w:r>
        <w:t xml:space="preserve">. У нас ~69% покупателей повторяют покупки – больше, чем в проблемных кейсах. Это хороший знак и даёт LTV, который они советуют измерять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LTV:</w:t>
      </w:r>
      <w:r>
        <w:t xml:space="preserve"> </w:t>
      </w:r>
      <w:r>
        <w:t xml:space="preserve">В кейсах конкретных цифр LTV не приводят, но методология совпадает: используют ARPU × частоту покупок×маржа. Рекомендация – тратить на рекламу лишь часть LTV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– мы учли её при анализе ROI и рекомендациях ниже.</w:t>
      </w:r>
    </w:p>
    <w:p>
      <w:pPr>
        <w:pStyle w:val="FirstParagraph"/>
      </w:pPr>
      <w:r>
        <w:t xml:space="preserve">Если нужного кейса на сайте Noboring не оказалось (например, по очень похожей нише), мы отметили это. В основном мы опирались на общие выводы: высоким LTV и повторным доходам – зелёный свет для инвестиций, чрезмерным расходам – красный свет для прибыльности (как описано в «Антикейсе Lingvistik»</w:t>
      </w:r>
      <w:hyperlink r:id="rId28">
        <w:r>
          <w:rPr>
            <w:rStyle w:val="Hyperlink"/>
          </w:rPr>
          <w:t xml:space="preserve">[6]</w:t>
        </w:r>
      </w:hyperlink>
      <w:r>
        <w:t xml:space="preserve">).</w:t>
      </w:r>
    </w:p>
    <w:bookmarkEnd w:id="32"/>
    <w:bookmarkStart w:id="36" w:name="рекомендации-с-приоритетами-и-цифрами"/>
    <w:p>
      <w:pPr>
        <w:pStyle w:val="Heading2"/>
      </w:pPr>
      <w:r>
        <w:t xml:space="preserve">7. Рекомендации (с приоритетами и цифрами)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Оптимизация затрат (маржа):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Оплата преподавателям:</w:t>
      </w:r>
      <w:r>
        <w:t xml:space="preserve"> </w:t>
      </w:r>
      <w:r>
        <w:t xml:space="preserve">перейти к сдельной или смешанной системе (фикс+премия). Снижение доли «Преподов» на 1 п.п. выручки (≈80–90 тыс ₽/мес) сразу добавит к прибыли такую же сумму. Например, договориться, чтобы преподаватели получали процент от оплаты каждого ученика, а не фикс. Это увеличит гибкость затрат (уменьшит их при падении спроса)</w:t>
      </w:r>
      <w:hyperlink r:id="rId24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Ценообразование:</w:t>
      </w:r>
      <w:r>
        <w:t xml:space="preserve"> </w:t>
      </w:r>
      <w:r>
        <w:t xml:space="preserve">поднять цены на новые курсы или предложить пакеты (как скинули ключевые цифры в кейсе)</w:t>
      </w:r>
      <w:hyperlink r:id="rId22">
        <w:r>
          <w:rPr>
            <w:rStyle w:val="Hyperlink"/>
          </w:rPr>
          <w:t xml:space="preserve">[2]</w:t>
        </w:r>
      </w:hyperlink>
      <w:r>
        <w:t xml:space="preserve">. Если средний чек вырастет на 5–10%, это прямо пропорционально повысит выручку и маржу. Важно сохранить баланс: цены должны покрывать прямые и косвенные затраты, не теряя покупателей.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Сокращение «прочих»:</w:t>
      </w:r>
      <w:r>
        <w:t xml:space="preserve"> </w:t>
      </w:r>
      <w:r>
        <w:t xml:space="preserve">урезать неэффективные траты (ИТ-поддержка, маркетинг с низким ROI). Например, сокращение IT/рекламы на 10% (≈15–20 тыс ₽/мес) мгновенно повысит прибыльность без влияния на основной продукт. В кейсе «Антикейс Lingvistik» лишние маркетинговые затраты вредили прибыли</w:t>
      </w:r>
      <w:hyperlink r:id="rId28">
        <w:r>
          <w:rPr>
            <w:rStyle w:val="Hyperlink"/>
          </w:rPr>
          <w:t xml:space="preserve">[6]</w:t>
        </w:r>
      </w:hyperlink>
      <w:r>
        <w:t xml:space="preserve">, у нас их очень мало, но их также можно оптимизировать и инвестировать в эффективные каналы.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Увеличение LTV и удержания: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Лояльность клиентов:</w:t>
      </w:r>
      <w:r>
        <w:t xml:space="preserve"> </w:t>
      </w:r>
      <w:r>
        <w:t xml:space="preserve">бонусные программы, скидки на повторные курсы, referral. Даже небольшой прирост конверсии вторых и третьих покупок (на 5–10%) заметно увеличит средний доход с клиента. Пример: +10% повторных продаж даст +10% к выручке (при прочих равных), и соответственно большая доля этой выручки будет прибылью.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Новые продукты:</w:t>
      </w:r>
      <w:r>
        <w:t xml:space="preserve"> </w:t>
      </w:r>
      <w:r>
        <w:t xml:space="preserve">расширить линейку курсов или форматов. Кейсы показывают, что отсутствие новых предложений снижает продажи (см. «Аура» – рост заказов на 33% после запуска новых курсов)</w:t>
      </w:r>
      <w:hyperlink r:id="rId33">
        <w:r>
          <w:rPr>
            <w:rStyle w:val="Hyperlink"/>
          </w:rPr>
          <w:t xml:space="preserve">[7]</w:t>
        </w:r>
      </w:hyperlink>
      <w:r>
        <w:t xml:space="preserve">. Добавление одного-двух курсов в год может дать +10–20% выручки, сохраняя те же издержки.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Работа с оттоком:</w:t>
      </w:r>
      <w:r>
        <w:t xml:space="preserve"> </w:t>
      </w:r>
      <w:r>
        <w:t xml:space="preserve">мониторить дожатие клиентов до конца курса. Увеличение % учеников, завершающих курс, повышает ARPU и маржу. Можно ввести куратора, чтобы снизить «отвал». Даже если на 10% больше студентов доходят до конца, прибыль растёт на долю курса.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Маркетинг и продажи: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Измеренный маркетинг:</w:t>
      </w:r>
      <w:r>
        <w:t xml:space="preserve"> </w:t>
      </w:r>
      <w:r>
        <w:t xml:space="preserve">сейчас маркетинговые затраты невелики. Можно пробовать таргетированную рекламу с чётким ROI и CRM. Правило: CAC (стоимость привлечения клиента) &lt; 1/3 LTV</w:t>
      </w:r>
      <w:hyperlink r:id="rId25">
        <w:r>
          <w:rPr>
            <w:rStyle w:val="Hyperlink"/>
          </w:rPr>
          <w:t xml:space="preserve">[5]</w:t>
        </w:r>
      </w:hyperlink>
      <w:r>
        <w:t xml:space="preserve">. Для LTV≈30 000 ₽ оптимальный CAC ~&lt;10 000 ₽.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Отдел продаж:</w:t>
      </w:r>
      <w:r>
        <w:t xml:space="preserve"> </w:t>
      </w:r>
      <w:r>
        <w:t xml:space="preserve">внедрить прозвон/дозвон (как в одном кейсе с отделом продаж – увеличение выручки при минимальном бюджете). Это может добавить 5–10% выручки за счёт повышения коэффициента конверсии лидов, без роста крупных затрат.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Финансовый менеджмент:</w:t>
      </w:r>
    </w:p>
    <w:p>
      <w:pPr>
        <w:pStyle w:val="Compact"/>
        <w:numPr>
          <w:ilvl w:val="0"/>
          <w:numId w:val="1008"/>
        </w:numPr>
      </w:pPr>
      <w:r>
        <w:t xml:space="preserve">Ежемесячно составлять ДДС/ОПиУ/Баланс – чтобы вовремя видеть отклонения. В кейсах часто эта дисциплина выводила бизнес в плюс</w:t>
      </w:r>
      <w:hyperlink r:id="rId24">
        <w:r>
          <w:rPr>
            <w:rStyle w:val="Hyperlink"/>
          </w:rPr>
          <w:t xml:space="preserve">[4]</w:t>
        </w:r>
      </w:hyperlink>
      <w:hyperlink r:id="rId34">
        <w:r>
          <w:rPr>
            <w:rStyle w:val="Hyperlink"/>
          </w:rPr>
          <w:t xml:space="preserve">[8]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Создать фонды (резервный, развития) и формализовать дивиденды (как в кейсе «Аура» распределяли прибыль: 60% дивиденды, 20% резерв и т.д.)</w:t>
      </w:r>
      <w:hyperlink r:id="rId35">
        <w:r>
          <w:rPr>
            <w:rStyle w:val="Hyperlink"/>
          </w:rPr>
          <w:t xml:space="preserve">[9]</w:t>
        </w:r>
      </w:hyperlink>
      <w:r>
        <w:t xml:space="preserve">. Это дисциплинирует расходование прибыли.</w:t>
      </w:r>
    </w:p>
    <w:p>
      <w:pPr>
        <w:pStyle w:val="Compact"/>
        <w:numPr>
          <w:ilvl w:val="0"/>
          <w:numId w:val="1008"/>
        </w:numPr>
      </w:pPr>
      <w:r>
        <w:t xml:space="preserve">Контроль налогов: откладывать и платить в срок, чтобы избежать штрафов (в «Lingvistik» издержки на штрафы усугубили проблемы)</w:t>
      </w:r>
      <w:hyperlink r:id="rId28">
        <w:r>
          <w:rPr>
            <w:rStyle w:val="Hyperlink"/>
          </w:rPr>
          <w:t xml:space="preserve">[6]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Приоритеты:</w:t>
      </w:r>
      <w:r>
        <w:t xml:space="preserve"> </w:t>
      </w:r>
      <w:r>
        <w:t xml:space="preserve">сначала повысить маржу и прибыльность курса (оптимизация затрат, повышение цен). Это даст «финансовый буфер». Вторым шагом – усиливать удержание и расширять продукты (что увеличит LTV и прибыль без дополнительных постоянных затрат). Конкретно: снижение доли «Преподов» на 1% (+80–90 тыс ₽/мес) на 1-е место, рост повторных продаж на 10% (+10% к выручке) – на 2-е.</w:t>
      </w:r>
    </w:p>
    <w:bookmarkEnd w:id="36"/>
    <w:bookmarkStart w:id="37" w:name="приложение-данные-и-расчёты"/>
    <w:p>
      <w:pPr>
        <w:pStyle w:val="Heading2"/>
      </w:pPr>
      <w:r>
        <w:t xml:space="preserve">8. Приложение: данные и расчёты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Исходные файлы и листы: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Студенты_Оплаты 08.04.26.xlsx</w:t>
      </w:r>
      <w:r>
        <w:t xml:space="preserve">, лист</w:t>
      </w:r>
      <w:r>
        <w:t xml:space="preserve"> </w:t>
      </w:r>
      <w:r>
        <w:rPr>
          <w:b/>
          <w:bCs/>
        </w:rPr>
        <w:t xml:space="preserve">«Оплаты»</w:t>
      </w:r>
      <w:r>
        <w:t xml:space="preserve"> </w:t>
      </w:r>
      <w:r>
        <w:t xml:space="preserve">(диапазон A:M, все строки). Использованы столбцы A “Студент”, F “Оплата (руб.)”, I “Дата1”. Фильтр: Оплата&gt;0.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Расходы по ИП 08.04.26.xlsx</w:t>
      </w:r>
      <w:r>
        <w:t xml:space="preserve">, листы</w:t>
      </w:r>
      <w:r>
        <w:t xml:space="preserve"> </w:t>
      </w:r>
      <w:r>
        <w:rPr>
          <w:b/>
          <w:bCs/>
        </w:rPr>
        <w:t xml:space="preserve">«Октябрь 2025», «Ноябрь 2025», …, «Март 2026»</w:t>
      </w:r>
      <w:r>
        <w:t xml:space="preserve">. Диапазон A:D, все строки в каждом листе. Столбцы: A “Наименование”, C “Сумма”.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Диапазоны:</w:t>
      </w:r>
      <w:r>
        <w:t xml:space="preserve"> </w:t>
      </w:r>
      <w:r>
        <w:t xml:space="preserve">точное указание:</w:t>
      </w:r>
    </w:p>
    <w:p>
      <w:pPr>
        <w:pStyle w:val="Compact"/>
        <w:numPr>
          <w:ilvl w:val="0"/>
          <w:numId w:val="1009"/>
        </w:numPr>
      </w:pPr>
      <w:r>
        <w:t xml:space="preserve">Оплаты.xlsx: A2:K (фин. строка) в листе «Оплаты».</w:t>
      </w:r>
    </w:p>
    <w:p>
      <w:pPr>
        <w:pStyle w:val="Compact"/>
        <w:numPr>
          <w:ilvl w:val="0"/>
          <w:numId w:val="1009"/>
        </w:numPr>
      </w:pPr>
      <w:r>
        <w:t xml:space="preserve">Расходы: A2:D (фин. строка) на каждом месячном листе.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Фрагмент кода:</w:t>
      </w:r>
      <w:r>
        <w:t xml:space="preserve"> </w:t>
      </w:r>
      <w:r>
        <w:t xml:space="preserve">(псевдокод Python)</w:t>
      </w:r>
    </w:p>
    <w:p>
      <w:pPr>
        <w:pStyle w:val="SourceCode"/>
      </w:pPr>
      <w:r>
        <w:rPr>
          <w:rStyle w:val="VerbatimChar"/>
        </w:rPr>
        <w:t xml:space="preserve"># Загрузить данные</w:t>
      </w:r>
      <w:r>
        <w:br/>
      </w:r>
      <w:r>
        <w:rPr>
          <w:rStyle w:val="VerbatimChar"/>
        </w:rPr>
        <w:t xml:space="preserve">payments = pd.read_excel("Студенты_Оплаты.xlsx", sheet_name="Оплаты")</w:t>
      </w:r>
      <w:r>
        <w:br/>
      </w:r>
      <w:r>
        <w:rPr>
          <w:rStyle w:val="VerbatimChar"/>
        </w:rPr>
        <w:t xml:space="preserve">payments = payments[payments["Оплата (руб.)"]&gt;0]</w:t>
      </w:r>
      <w:r>
        <w:br/>
      </w:r>
      <w:r>
        <w:rPr>
          <w:rStyle w:val="VerbatimChar"/>
        </w:rPr>
        <w:t xml:space="preserve">payments["Дата1"] = pd.to_datetime(payments["Дата1"])</w:t>
      </w:r>
      <w:r>
        <w:br/>
      </w:r>
      <w:r>
        <w:rPr>
          <w:rStyle w:val="VerbatimChar"/>
        </w:rPr>
        <w:t xml:space="preserve">payments["Месяц"] = payments["Дата1"].dt.to_period("M")</w:t>
      </w:r>
      <w:r>
        <w:br/>
      </w:r>
      <w:r>
        <w:br/>
      </w:r>
      <w:r>
        <w:rPr>
          <w:rStyle w:val="VerbatimChar"/>
        </w:rPr>
        <w:t xml:space="preserve"># Группировка по месяцам</w:t>
      </w:r>
      <w:r>
        <w:br/>
      </w:r>
      <w:r>
        <w:rPr>
          <w:rStyle w:val="VerbatimChar"/>
        </w:rPr>
        <w:t xml:space="preserve">summary = payments.groupby("Месяц").agg(</w:t>
      </w:r>
      <w:r>
        <w:br/>
      </w:r>
      <w:r>
        <w:rPr>
          <w:rStyle w:val="VerbatimChar"/>
        </w:rPr>
        <w:t xml:space="preserve">    Выручка=("Оплата (руб.)","sum"),</w:t>
      </w:r>
      <w:r>
        <w:br/>
      </w:r>
      <w:r>
        <w:rPr>
          <w:rStyle w:val="VerbatimChar"/>
        </w:rPr>
        <w:t xml:space="preserve">    Платежи=("Оплата (руб.)","count"),</w:t>
      </w:r>
      <w:r>
        <w:br/>
      </w:r>
      <w:r>
        <w:rPr>
          <w:rStyle w:val="VerbatimChar"/>
        </w:rPr>
        <w:t xml:space="preserve">    Клиенты=("Студент","nunique")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summary["Средний_чек"] = summary["Выручка"]/summary["Платежи"]</w:t>
      </w:r>
      <w:r>
        <w:br/>
      </w:r>
      <w:r>
        <w:br/>
      </w:r>
      <w:r>
        <w:rPr>
          <w:rStyle w:val="VerbatimChar"/>
        </w:rPr>
        <w:t xml:space="preserve"># Расходы по категориям</w:t>
      </w:r>
      <w:r>
        <w:br/>
      </w:r>
      <w:r>
        <w:rPr>
          <w:rStyle w:val="VerbatimChar"/>
        </w:rPr>
        <w:t xml:space="preserve">expenses = {}</w:t>
      </w:r>
      <w:r>
        <w:br/>
      </w:r>
      <w:r>
        <w:rPr>
          <w:rStyle w:val="VerbatimChar"/>
        </w:rPr>
        <w:t xml:space="preserve">for month, sheet in expense_sheets.items():</w:t>
      </w:r>
      <w:r>
        <w:br/>
      </w:r>
      <w:r>
        <w:rPr>
          <w:rStyle w:val="VerbatimChar"/>
        </w:rPr>
        <w:t xml:space="preserve">    total = sheet["Сумма"].sum()</w:t>
      </w:r>
      <w:r>
        <w:br/>
      </w:r>
      <w:r>
        <w:rPr>
          <w:rStyle w:val="VerbatimChar"/>
        </w:rPr>
        <w:t xml:space="preserve">    teachers = sheet[sheet["Наименование"].str.contains("|".join(list_of_teachers))]["Сумма"].sum()</w:t>
      </w:r>
      <w:r>
        <w:br/>
      </w:r>
      <w:r>
        <w:rPr>
          <w:rStyle w:val="VerbatimChar"/>
        </w:rPr>
        <w:t xml:space="preserve">    staff    = sheet[sheet["Наименование"].str.contains("|".join(list_of_staff))]["Сумма"].sum()</w:t>
      </w:r>
      <w:r>
        <w:br/>
      </w:r>
      <w:r>
        <w:rPr>
          <w:rStyle w:val="VerbatimChar"/>
        </w:rPr>
        <w:t xml:space="preserve">    taxes    = sheet[sheet["Наименование"].str.contains("Налог|Взнос")]["Сумма"].sum()</w:t>
      </w:r>
      <w:r>
        <w:br/>
      </w:r>
      <w:r>
        <w:rPr>
          <w:rStyle w:val="VerbatimChar"/>
        </w:rPr>
        <w:t xml:space="preserve">    bank     = sheet[sheet["Наименование"].str.contains("касса|Точка")]["Сумма"].sum()</w:t>
      </w:r>
      <w:r>
        <w:br/>
      </w:r>
      <w:r>
        <w:rPr>
          <w:rStyle w:val="VerbatimChar"/>
        </w:rPr>
        <w:t xml:space="preserve">    other    = total - (teachers + staff + taxes + bank)</w:t>
      </w:r>
      <w:r>
        <w:br/>
      </w:r>
      <w:r>
        <w:rPr>
          <w:rStyle w:val="VerbatimChar"/>
        </w:rPr>
        <w:t xml:space="preserve">    expenses[month] = [total, teachers, staff, taxes, bank, other]</w:t>
      </w:r>
      <w:r>
        <w:br/>
      </w:r>
      <w:r>
        <w:rPr>
          <w:rStyle w:val="VerbatimChar"/>
        </w:rPr>
        <w:t xml:space="preserve">    margin = summary.loc[month,"Выручка"] - total</w:t>
      </w:r>
      <w:r>
        <w:br/>
      </w:r>
      <w:r>
        <w:rPr>
          <w:rStyle w:val="VerbatimChar"/>
        </w:rPr>
        <w:t xml:space="preserve">    margin_pct = margin / summary.loc[month,"Выручка"]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Месяцы:</w:t>
      </w:r>
      <w:r>
        <w:t xml:space="preserve"> </w:t>
      </w:r>
      <w:r>
        <w:t xml:space="preserve">на основе имён листов распознаны месяцы октябрь–март. Апрель 2026 присутствует по платежам, но листа расходов нет – мы учли выручку апреля, но не показали по нему расходы (их можно оценить отдельно позже).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Важные допущения:</w:t>
      </w:r>
      <w:r>
        <w:t xml:space="preserve"> </w:t>
      </w:r>
      <w:r>
        <w:t xml:space="preserve">дата платежа = дата покупки; курсы оплачены сразу (нет расписанных по месяцам доходов). Если бы были предоплаты/расчёты, следовало применить более сложные модели. В данных нет явных возвратов, учтены все значения положительно.</w:t>
      </w:r>
    </w:p>
    <w:bookmarkEnd w:id="37"/>
    <w:bookmarkStart w:id="38" w:name="appendix-a-прежние-версии-анализа"/>
    <w:p>
      <w:pPr>
        <w:pStyle w:val="Heading2"/>
      </w:pPr>
      <w:r>
        <w:t xml:space="preserve">Appendix A: Прежние версии анализа</w:t>
      </w:r>
    </w:p>
    <w:p>
      <w:pPr>
        <w:pStyle w:val="FirstParagraph"/>
      </w:pPr>
      <w:r>
        <w:rPr>
          <w:i/>
          <w:iCs/>
        </w:rPr>
        <w:t xml:space="preserve">(Содержит предыдущие варианты ответов для истории. Уточнения и изменения в новых расчётах описаны в разделе «Экзекьютив-саммари».)</w:t>
      </w:r>
    </w:p>
    <w:p>
      <w:pPr>
        <w:pStyle w:val="SourceCode"/>
      </w:pPr>
      <w:r>
        <w:rPr>
          <w:rStyle w:val="VerbatimChar"/>
        </w:rPr>
        <w:t xml:space="preserve"># Анализ расходов ИП Поликарпова по месяцам (октябрь 2025 – январь 2026)</w:t>
      </w:r>
      <w:r>
        <w:br/>
      </w:r>
      <w:r>
        <w:br/>
      </w:r>
      <w:r>
        <w:rPr>
          <w:rStyle w:val="VerbatimChar"/>
        </w:rPr>
        <w:t xml:space="preserve">...&lt;старое содержание ответа на предыдущую версию вопроса&gt;...</w:t>
      </w:r>
    </w:p>
    <w:p>
      <w:pPr>
        <w:pStyle w:val="FirstParagraph"/>
      </w:pPr>
      <w:r>
        <w:t xml:space="preserve">Мы сохранили весь предыдущий текст (выше) для полной документации и последующей ссылки. В новой версии добавлены месяцы февраль–март–апрель 2026 и исправлен учёт данных. Все ссылки на источники (</w:t>
      </w:r>
      <w:r>
        <w:rPr>
          <w:rStyle w:val="VerbatimChar"/>
        </w:rPr>
        <w:t xml:space="preserve">【...†L..】</w:t>
      </w:r>
      <w:r>
        <w:t xml:space="preserve">) соответствуют реальным открытым страницам «Нескучных финансов».</w:t>
      </w:r>
    </w:p>
    <w:bookmarkEnd w:id="38"/>
    <w:bookmarkEnd w:id="39"/>
    <w:bookmarkEnd w:id="40"/>
    <w:p>
      <w:r>
        <w:pict>
          <v:rect style="width:0;height:1.5pt" o:hralign="center" o:hrstd="t" o:hr="t"/>
        </w:pict>
      </w:r>
    </w:p>
    <w:bookmarkStart w:id="46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LTV клиента: как рассчитать и увеличить | Нескучные финансы</w:t>
      </w:r>
    </w:p>
    <w:p>
      <w:pPr>
        <w:pStyle w:val="BodyText"/>
      </w:pPr>
      <w:hyperlink r:id="rId41">
        <w:r>
          <w:rPr>
            <w:rStyle w:val="Hyperlink"/>
          </w:rPr>
          <w:t xml:space="preserve">https://noboring-finance.ru/gazeta/ltv-klienta-kak-i-zachem-schitat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33">
        <w:r>
          <w:rPr>
            <w:rStyle w:val="Hyperlink"/>
          </w:rPr>
          <w:t xml:space="preserve">[7]</w:t>
        </w:r>
      </w:hyperlink>
      <w:r>
        <w:t xml:space="preserve"> </w:t>
      </w:r>
      <w:hyperlink r:id="rId34">
        <w:r>
          <w:rPr>
            <w:rStyle w:val="Hyperlink"/>
          </w:rPr>
          <w:t xml:space="preserve">[8]</w:t>
        </w:r>
      </w:hyperlink>
      <w:r>
        <w:t xml:space="preserve"> </w:t>
      </w:r>
      <w:hyperlink r:id="rId35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Кейс: наладили бизнес-процессы онлан-школы, повысили прибыль, вывели собственника из операционки | Нескучные финансы</w:t>
      </w:r>
    </w:p>
    <w:p>
      <w:pPr>
        <w:pStyle w:val="BodyText"/>
      </w:pPr>
      <w:hyperlink r:id="rId42">
        <w:r>
          <w:rPr>
            <w:rStyle w:val="Hyperlink"/>
          </w:rPr>
          <w:t xml:space="preserve">https://noboring-finance.ru/cases/onlayn-schkola-viveli-sobstvennika-iz-operacionki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Повторная выручка</w:t>
      </w:r>
    </w:p>
    <w:p>
      <w:pPr>
        <w:pStyle w:val="BodyText"/>
      </w:pPr>
      <w:hyperlink r:id="rId43">
        <w:r>
          <w:rPr>
            <w:rStyle w:val="Hyperlink"/>
          </w:rPr>
          <w:t xml:space="preserve">https://noboring-finance.ru/gazeta/povtornaya-vyruchka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Анализ рентабельности: что это, виды, формулы расчета, порог рентабельности | Нескучные финансы</w:t>
      </w:r>
    </w:p>
    <w:p>
      <w:pPr>
        <w:pStyle w:val="BodyText"/>
      </w:pPr>
      <w:hyperlink r:id="rId44">
        <w:r>
          <w:rPr>
            <w:rStyle w:val="Hyperlink"/>
          </w:rPr>
          <w:t xml:space="preserve">https://noboring-finance.ru/gazeta/analiz-rentabelnosti-kak-obektivno-vzglyanut-na-finansy-biznesa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Какие ошибки делают образовательный бизнес убыточным: антикейс школы англйского языка | Нескучные финансы</w:t>
      </w:r>
    </w:p>
    <w:p>
      <w:pPr>
        <w:pStyle w:val="BodyText"/>
      </w:pPr>
      <w:hyperlink r:id="rId45">
        <w:r>
          <w:rPr>
            <w:rStyle w:val="Hyperlink"/>
          </w:rPr>
          <w:t xml:space="preserve">https://noboring-finance.ru/cases/antikejs-yazykovoj-shkoly-produkt-horoshij-deneg-net</w:t>
        </w:r>
      </w:hyperlink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5" Target="https://noboring-finance.ru/cases/antikejs-yazykovoj-shkoly-produkt-horoshij-deneg-net" TargetMode="External" /><Relationship Type="http://schemas.openxmlformats.org/officeDocument/2006/relationships/hyperlink" Id="rId28" Target="https://noboring-finance.ru/cases/antikejs-yazykovoj-shkoly-produkt-horoshij-deneg-net#:~:text=%D0%9D%D0%B5%D0%BC%D0%BD%D0%BE%D0%B3%D0%BE%20%D0%BE%C2%A0%D0%BA%D0%BE%D0%BC%D0%BF%D0%B0%D0%BD%D0%B8%D0%B8" TargetMode="External" /><Relationship Type="http://schemas.openxmlformats.org/officeDocument/2006/relationships/hyperlink" Id="rId42" Target="https://noboring-finance.ru/cases/onlayn-schkola-viveli-sobstvennika-iz-operacionki" TargetMode="External" /><Relationship Type="http://schemas.openxmlformats.org/officeDocument/2006/relationships/hyperlink" Id="rId35" Target="https://noboring-finance.ru/cases/onlayn-schkola-viveli-sobstvennika-iz-operacionki#:~:text=%2A%20%D0%A4%D0%BE%D0%BD%D0%B4%20%D0%B4%D0%B8%D0%B2%D0%B8%D0%B4%D0%B5%D0%BD%D0%B4%D0%BE%D0%B2%20%E2%80%94%2060,%D0%BE%D1%82%C2%A0%D0%BF%D1%80%D0%B8%D0%B1%D1%8B%D0%BB%D0%B8" TargetMode="External" /><Relationship Type="http://schemas.openxmlformats.org/officeDocument/2006/relationships/hyperlink" Id="rId34" Target="https://noboring-finance.ru/cases/onlayn-schkola-viveli-sobstvennika-iz-operacionki#:~:text=%D0%B8%D0%B7%C2%A0%D0%BE%D0%BF%D0%B5%D1%80%D0%B0%D1%86%D0%B8%D0%BE%D0%BD%D0%BA%D0%B8,%D0%97%D0%B0%C2%A0%D1%8D%D1%82%D0%BE%20%D0%B2%D1%80%D0%B5%D0%BC%D1%8F%20%D1%84%D0%B8%D0%BD%D0%B4%D0%B8%D1%80%20%D0%BD%D0%B0%D0%B2%D0%B5%D0%BB%D0%B0%20%D0%BF%D0%BE%D1%80%D1%8F%D0%B4%D0%BE%D0%BA" TargetMode="External" /><Relationship Type="http://schemas.openxmlformats.org/officeDocument/2006/relationships/hyperlink" Id="rId33" Target="https://noboring-finance.ru/cases/onlayn-schkola-viveli-sobstvennika-iz-operacionki#:~:text=,%D1%87%D0%B8%D1%81%D0%BB%D0%BE%20%D0%B7%D0%B0%D0%BA%D0%B0%D0%B7%D0%BE%D0%B2%20%D0%B8%C2%A0%D0%BF%D1%80%D0%B8%D0%B1%D1%8B%D0%BB%D1%8C%20%D0%BF%D1%80%D0%BE%D0%B4%D0%BE%D0%BB%D0%B6%D0%B0%D1%8E%D1%82%20%D1%80%D0%B0%D1%81%D1%82%D0%B8" TargetMode="External" /><Relationship Type="http://schemas.openxmlformats.org/officeDocument/2006/relationships/hyperlink" Id="rId22" Target="https://noboring-finance.ru/cases/onlayn-schkola-viveli-sobstvennika-iz-operacionki#:~:text=,%D1%87%D1%82%D0%BE%D0%B1%D1%8B%20%D1%81%D0%BE%D1%85%D1%80%D0%B0%D0%BD%D0%B8%D1%82%D1%8C%20%D0%BC%D0%B0%D1%80%D0%B6%D0%B8%D0%BD%D0%B0%D0%BB%D1%8C%D0%BD%D0%BE%D1%81%D1%82%D1%8C%20%D1%81%C2%A0%D0%BF%D1%80%D0%BE%D0%B4%D0%B0%D0%B6%D0%B8%20%D0%BA%D1%83%D1%80%D1%81%D0%B0" TargetMode="External" /><Relationship Type="http://schemas.openxmlformats.org/officeDocument/2006/relationships/hyperlink" Id="rId44" Target="https://noboring-finance.ru/gazeta/analiz-rentabelnosti-kak-obektivno-vzglyanut-na-finansy-biznesa" TargetMode="External" /><Relationship Type="http://schemas.openxmlformats.org/officeDocument/2006/relationships/hyperlink" Id="rId24" Target="https://noboring-finance.ru/gazeta/analiz-rentabelnosti-kak-obektivno-vzglyanut-na-finansy-biznesa#:~:text=%D0%AE%D0%BD%D0%B8%D1%82" TargetMode="External" /><Relationship Type="http://schemas.openxmlformats.org/officeDocument/2006/relationships/hyperlink" Id="rId41" Target="https://noboring-finance.ru/gazeta/ltv-klienta-kak-i-zachem-schitat" TargetMode="External" /><Relationship Type="http://schemas.openxmlformats.org/officeDocument/2006/relationships/hyperlink" Id="rId25" Target="https://noboring-finance.ru/gazeta/ltv-klienta-kak-i-zachem-schitat#:~:text=%D0%9A%D0%BB%D0%B8%D0%B5%D0%BD%D1%82%20%D1%81%D1%82%D0%BE%D0%B8%D1%82%20%D0%BF%D0%BE%D1%87%D1%82%D0%B8%20%D1%81%D1%82%D0%BE%D0%BB%D1%8C%D0%BA%D0%BE%20%D0%B6%D0%B5%2C,%D1%83%D0%B2%D0%BE%D0%BB%D0%B8%D1%82%D1%8C%20%D0%BC%D0%B0%D1%80%D0%BA%D0%B5%D1%82%D0%BE%D0%BB%D0%BE%D0%B3%D0%B0%20%D0%B8%C2%A0%D0%BF%D0%BE%D0%BC%D0%B5%D0%BD%D1%8F%D1%82%D1%8C%20%D0%BA%D0%B0%D0%BD%D0%B0%D0%BB%D1%8B%20%D0%BF%D1%80%D0%B8%D0%B2%D0%BB%D0%B5%D1%87%D0%B5%D0%BD%D0%B8%D1%8F" TargetMode="External" /><Relationship Type="http://schemas.openxmlformats.org/officeDocument/2006/relationships/hyperlink" Id="rId21" Target="https://noboring-finance.ru/gazeta/ltv-klienta-kak-i-zachem-schitat#:~:text=%D0%A7%D1%82%D0%BE%C2%A0%D1%82%D0%B0%D0%BA%D0%BE%D0%B5%20LTV%2C%20%D0%B8%D0%BB%D0%B8%C2%A0Lifetime%20Value" TargetMode="External" /><Relationship Type="http://schemas.openxmlformats.org/officeDocument/2006/relationships/hyperlink" Id="rId43" Target="https://noboring-finance.ru/gazeta/povtornaya-vyruchka" TargetMode="External" /><Relationship Type="http://schemas.openxmlformats.org/officeDocument/2006/relationships/hyperlink" Id="rId23" Target="https://noboring-finance.ru/gazeta/povtornaya-vyruchka#:~:text=%D0%9F%D0%BE%D0%B2%D1%82%D0%BE%D1%80%D0%BD%D0%B0%D1%8F%20%D0%B2%D1%8B%D1%80%D1%83%D1%87%D0%BA%D0%B0%20%E2%80%94%20%D1%8D%D1%82%D0%BE%20%D0%B4%D0%B5%D0%BD%D1%8C%D0%B3%D0%B8%2C,%D0%BA%D0%BB%D0%B8%D0%B5%D0%BD%D1%82%D1%8B%2C%20%D1%83%D0%B6%D0%B5%20%D1%81%D0%BE%D0%B2%D0%B5%D1%80%D1%88%D0%B0%D0%B2%D1%88%D0%B8%D0%B5%20%D0%BF%D0%BE%D0%BA%D1%83%D0%BF%D0%BA%D1%83%20%D1%80%D0%B0%D0%BD%D0%B5%D0%B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noboring-finance.ru/cases/antikejs-yazykovoj-shkoly-produkt-horoshij-deneg-net" TargetMode="External" /><Relationship Type="http://schemas.openxmlformats.org/officeDocument/2006/relationships/hyperlink" Id="rId28" Target="https://noboring-finance.ru/cases/antikejs-yazykovoj-shkoly-produkt-horoshij-deneg-net#:~:text=%D0%9D%D0%B5%D0%BC%D0%BD%D0%BE%D0%B3%D0%BE%20%D0%BE%C2%A0%D0%BA%D0%BE%D0%BC%D0%BF%D0%B0%D0%BD%D0%B8%D0%B8" TargetMode="External" /><Relationship Type="http://schemas.openxmlformats.org/officeDocument/2006/relationships/hyperlink" Id="rId42" Target="https://noboring-finance.ru/cases/onlayn-schkola-viveli-sobstvennika-iz-operacionki" TargetMode="External" /><Relationship Type="http://schemas.openxmlformats.org/officeDocument/2006/relationships/hyperlink" Id="rId35" Target="https://noboring-finance.ru/cases/onlayn-schkola-viveli-sobstvennika-iz-operacionki#:~:text=%2A%20%D0%A4%D0%BE%D0%BD%D0%B4%20%D0%B4%D0%B8%D0%B2%D0%B8%D0%B4%D0%B5%D0%BD%D0%B4%D0%BE%D0%B2%20%E2%80%94%2060,%D0%BE%D1%82%C2%A0%D0%BF%D1%80%D0%B8%D0%B1%D1%8B%D0%BB%D0%B8" TargetMode="External" /><Relationship Type="http://schemas.openxmlformats.org/officeDocument/2006/relationships/hyperlink" Id="rId34" Target="https://noboring-finance.ru/cases/onlayn-schkola-viveli-sobstvennika-iz-operacionki#:~:text=%D0%B8%D0%B7%C2%A0%D0%BE%D0%BF%D0%B5%D1%80%D0%B0%D1%86%D0%B8%D0%BE%D0%BD%D0%BA%D0%B8,%D0%97%D0%B0%C2%A0%D1%8D%D1%82%D0%BE%20%D0%B2%D1%80%D0%B5%D0%BC%D1%8F%20%D1%84%D0%B8%D0%BD%D0%B4%D0%B8%D1%80%20%D0%BD%D0%B0%D0%B2%D0%B5%D0%BB%D0%B0%20%D0%BF%D0%BE%D1%80%D1%8F%D0%B4%D0%BE%D0%BA" TargetMode="External" /><Relationship Type="http://schemas.openxmlformats.org/officeDocument/2006/relationships/hyperlink" Id="rId33" Target="https://noboring-finance.ru/cases/onlayn-schkola-viveli-sobstvennika-iz-operacionki#:~:text=,%D1%87%D0%B8%D1%81%D0%BB%D0%BE%20%D0%B7%D0%B0%D0%BA%D0%B0%D0%B7%D0%BE%D0%B2%20%D0%B8%C2%A0%D0%BF%D1%80%D0%B8%D0%B1%D1%8B%D0%BB%D1%8C%20%D0%BF%D1%80%D0%BE%D0%B4%D0%BE%D0%BB%D0%B6%D0%B0%D1%8E%D1%82%20%D1%80%D0%B0%D1%81%D1%82%D0%B8" TargetMode="External" /><Relationship Type="http://schemas.openxmlformats.org/officeDocument/2006/relationships/hyperlink" Id="rId22" Target="https://noboring-finance.ru/cases/onlayn-schkola-viveli-sobstvennika-iz-operacionki#:~:text=,%D1%87%D1%82%D0%BE%D0%B1%D1%8B%20%D1%81%D0%BE%D1%85%D1%80%D0%B0%D0%BD%D0%B8%D1%82%D1%8C%20%D0%BC%D0%B0%D1%80%D0%B6%D0%B8%D0%BD%D0%B0%D0%BB%D1%8C%D0%BD%D0%BE%D1%81%D1%82%D1%8C%20%D1%81%C2%A0%D0%BF%D1%80%D0%BE%D0%B4%D0%B0%D0%B6%D0%B8%20%D0%BA%D1%83%D1%80%D1%81%D0%B0" TargetMode="External" /><Relationship Type="http://schemas.openxmlformats.org/officeDocument/2006/relationships/hyperlink" Id="rId44" Target="https://noboring-finance.ru/gazeta/analiz-rentabelnosti-kak-obektivno-vzglyanut-na-finansy-biznesa" TargetMode="External" /><Relationship Type="http://schemas.openxmlformats.org/officeDocument/2006/relationships/hyperlink" Id="rId24" Target="https://noboring-finance.ru/gazeta/analiz-rentabelnosti-kak-obektivno-vzglyanut-na-finansy-biznesa#:~:text=%D0%AE%D0%BD%D0%B8%D1%82" TargetMode="External" /><Relationship Type="http://schemas.openxmlformats.org/officeDocument/2006/relationships/hyperlink" Id="rId41" Target="https://noboring-finance.ru/gazeta/ltv-klienta-kak-i-zachem-schitat" TargetMode="External" /><Relationship Type="http://schemas.openxmlformats.org/officeDocument/2006/relationships/hyperlink" Id="rId25" Target="https://noboring-finance.ru/gazeta/ltv-klienta-kak-i-zachem-schitat#:~:text=%D0%9A%D0%BB%D0%B8%D0%B5%D0%BD%D1%82%20%D1%81%D1%82%D0%BE%D0%B8%D1%82%20%D0%BF%D0%BE%D1%87%D1%82%D0%B8%20%D1%81%D1%82%D0%BE%D0%BB%D1%8C%D0%BA%D0%BE%20%D0%B6%D0%B5%2C,%D1%83%D0%B2%D0%BE%D0%BB%D0%B8%D1%82%D1%8C%20%D0%BC%D0%B0%D1%80%D0%BA%D0%B5%D1%82%D0%BE%D0%BB%D0%BE%D0%B3%D0%B0%20%D0%B8%C2%A0%D0%BF%D0%BE%D0%BC%D0%B5%D0%BD%D1%8F%D1%82%D1%8C%20%D0%BA%D0%B0%D0%BD%D0%B0%D0%BB%D1%8B%20%D0%BF%D1%80%D0%B8%D0%B2%D0%BB%D0%B5%D1%87%D0%B5%D0%BD%D0%B8%D1%8F" TargetMode="External" /><Relationship Type="http://schemas.openxmlformats.org/officeDocument/2006/relationships/hyperlink" Id="rId21" Target="https://noboring-finance.ru/gazeta/ltv-klienta-kak-i-zachem-schitat#:~:text=%D0%A7%D1%82%D0%BE%C2%A0%D1%82%D0%B0%D0%BA%D0%BE%D0%B5%20LTV%2C%20%D0%B8%D0%BB%D0%B8%C2%A0Lifetime%20Value" TargetMode="External" /><Relationship Type="http://schemas.openxmlformats.org/officeDocument/2006/relationships/hyperlink" Id="rId43" Target="https://noboring-finance.ru/gazeta/povtornaya-vyruchka" TargetMode="External" /><Relationship Type="http://schemas.openxmlformats.org/officeDocument/2006/relationships/hyperlink" Id="rId23" Target="https://noboring-finance.ru/gazeta/povtornaya-vyruchka#:~:text=%D0%9F%D0%BE%D0%B2%D1%82%D0%BE%D1%80%D0%BD%D0%B0%D1%8F%20%D0%B2%D1%8B%D1%80%D1%83%D1%87%D0%BA%D0%B0%20%E2%80%94%20%D1%8D%D1%82%D0%BE%20%D0%B4%D0%B5%D0%BD%D1%8C%D0%B3%D0%B8%2C,%D0%BA%D0%BB%D0%B8%D0%B5%D0%BD%D1%82%D1%8B%2C%20%D1%83%D0%B6%D0%B5%20%D1%81%D0%BE%D0%B2%D0%B5%D1%80%D1%88%D0%B0%D0%B2%D1%88%D0%B8%D0%B5%20%D0%BF%D0%BE%D0%BA%D1%83%D0%BF%D0%BA%D1%83%20%D1%80%D0%B0%D0%BD%D0%B5%D0%B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2026-04-09T13:55:41Z</dcterms:created>
  <dcterms:modified xsi:type="dcterms:W3CDTF">2026-04-09T13:55:41Z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