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2282" w:rsidRDefault="00350378">
      <w:pPr>
        <w:spacing w:before="240" w:after="120"/>
      </w:pPr>
      <w:r>
        <w:rPr>
          <w:b/>
          <w:bCs/>
          <w:sz w:val="28"/>
          <w:szCs w:val="28"/>
        </w:rPr>
        <w:t>Аналитическая записка к лексическому указателю</w:t>
      </w:r>
    </w:p>
    <w:p w:rsidR="004D2282" w:rsidRDefault="00350378">
      <w:pPr>
        <w:spacing w:after="120" w:line="280" w:lineRule="auto"/>
        <w:jc w:val="both"/>
      </w:pPr>
      <w:r>
        <w:rPr>
          <w:i/>
          <w:iCs/>
          <w:sz w:val="20"/>
          <w:szCs w:val="20"/>
        </w:rPr>
        <w:t>К проекту: А. А. Зализняк. Из жизни слов и языков. М.: Альпина нон-фикшн, 2026. — 404 с.</w:t>
      </w:r>
    </w:p>
    <w:p w:rsidR="004D2282" w:rsidRDefault="00350378">
      <w:pPr>
        <w:spacing w:after="120" w:line="280" w:lineRule="auto"/>
        <w:jc w:val="both"/>
      </w:pPr>
      <w:r>
        <w:rPr>
          <w:i/>
          <w:iCs/>
          <w:sz w:val="20"/>
          <w:szCs w:val="20"/>
        </w:rPr>
        <w:t xml:space="preserve">Технический пересчет страниц на материале указателей В. М. Крылова, выполнен по верстке от 2 апреля 2026 г. (404 с., InDesign 21.0). </w:t>
      </w:r>
    </w:p>
    <w:p w:rsidR="004D2282" w:rsidRDefault="009C757E">
      <w:pPr>
        <w:spacing w:before="180" w:after="120"/>
      </w:pPr>
      <w:r>
        <w:rPr>
          <w:b/>
          <w:bCs/>
          <w:sz w:val="24"/>
          <w:szCs w:val="24"/>
        </w:rPr>
        <w:t xml:space="preserve">1. </w:t>
      </w:r>
      <w:r w:rsidR="00350378">
        <w:rPr>
          <w:b/>
          <w:bCs/>
          <w:sz w:val="24"/>
          <w:szCs w:val="24"/>
        </w:rPr>
        <w:t>Шесть принципов составления указателей</w:t>
      </w:r>
    </w:p>
    <w:p w:rsidR="004D2282" w:rsidRDefault="00350378">
      <w:pPr>
        <w:spacing w:after="120" w:line="280" w:lineRule="auto"/>
        <w:jc w:val="both"/>
      </w:pPr>
      <w:r>
        <w:t xml:space="preserve">Перед изложением частных решений по лексическому указателю — </w:t>
      </w:r>
      <w:r w:rsidRPr="009C757E">
        <w:rPr>
          <w:highlight w:val="yellow"/>
        </w:rPr>
        <w:t>общая методологическая рамка</w:t>
      </w:r>
      <w:r>
        <w:t>, которой мы придерживались при работе со всем справочным аппаратом книги. Эти принципы выведены из совмещения требов</w:t>
      </w:r>
      <w:r>
        <w:t>аний Мильчина с практическими установками редколлегии.</w:t>
      </w:r>
    </w:p>
    <w:p w:rsidR="004D2282" w:rsidRDefault="00350378">
      <w:pPr>
        <w:spacing w:after="120" w:line="280" w:lineRule="auto"/>
        <w:jc w:val="both"/>
      </w:pPr>
      <w:r>
        <w:t>1. Указатель — навигация, не картотека. Каждая вокабула должна помогать читателю что-то найти, а не существовать «для полноты». Гапаксы (однократные упоминания) допустимы, но визуально отделены от обсу</w:t>
      </w:r>
      <w:r>
        <w:t>ждений шрифтовой разметкой.</w:t>
      </w:r>
    </w:p>
    <w:p w:rsidR="004D2282" w:rsidRDefault="00350378">
      <w:pPr>
        <w:spacing w:after="120" w:line="280" w:lineRule="auto"/>
        <w:jc w:val="both"/>
      </w:pPr>
      <w:r>
        <w:t>2. Не дублировать существующие указатели. Лексический не повторяет предметный, именной не повторяет лексический; собственные имена идут в свои разделы.</w:t>
      </w:r>
    </w:p>
    <w:p w:rsidR="004D2282" w:rsidRDefault="00350378">
      <w:pPr>
        <w:spacing w:after="120" w:line="280" w:lineRule="auto"/>
        <w:jc w:val="both"/>
      </w:pPr>
      <w:r>
        <w:t>3. Сводить варианты одной лексемы в одну вокабулу — там, где это однозначно.</w:t>
      </w:r>
      <w:r>
        <w:t xml:space="preserve"> Дубликаты, отличающиеся только регистром или орфографической вариацией, объединяются автоматически. Сведение по словоформам («дуб / дуба / дубовъ / дубъ / дубы» → «дуб») требует ручной работы лингвиста и в автоматической переработке не делалось — это осоз</w:t>
      </w:r>
      <w:r>
        <w:t>нанное ограничение, а не упущение (см. ниже подробное объяснение).</w:t>
      </w:r>
    </w:p>
    <w:p w:rsidR="004D2282" w:rsidRDefault="00350378">
      <w:pPr>
        <w:spacing w:after="120" w:line="280" w:lineRule="auto"/>
        <w:jc w:val="both"/>
      </w:pPr>
      <w:r>
        <w:t>4. Прямой порядок слов в топонимах, инверсия с запятой — только для терминов с именем собственным. «Малая Азия», «Великое княжество Литовское», но «Вакернагеля закон», «Гримма закон». По Ми</w:t>
      </w:r>
      <w:r>
        <w:t>льчину.</w:t>
      </w:r>
    </w:p>
    <w:p w:rsidR="004D2282" w:rsidRDefault="00350378">
      <w:pPr>
        <w:spacing w:after="120" w:line="280" w:lineRule="auto"/>
        <w:jc w:val="both"/>
      </w:pPr>
      <w:r>
        <w:t>5. Шрифт говорит сам за себя. Полужирная голова — обсуждаемая вокабула; обычная — однократное упоминание; курсив — требует ручной редакторской сверки. Без сносок «как читать указатель» — все понятно из вида.</w:t>
      </w:r>
    </w:p>
    <w:p w:rsidR="004D2282" w:rsidRDefault="009C757E">
      <w:pPr>
        <w:spacing w:after="120" w:line="280" w:lineRule="auto"/>
        <w:jc w:val="both"/>
      </w:pPr>
      <w:r>
        <w:t>6. Объем в норме Мильчина (2–5</w:t>
      </w:r>
      <w:r w:rsidR="00350378">
        <w:t>% для нау</w:t>
      </w:r>
      <w:r>
        <w:t>чно-популярных, до 10</w:t>
      </w:r>
      <w:r w:rsidR="00350378">
        <w:t>% для научных), и не больше. Если о</w:t>
      </w:r>
      <w:r>
        <w:t>бъем указателя приближается к 5</w:t>
      </w:r>
      <w:r w:rsidR="00350378">
        <w:t>%, это сигнал: либо сокращать, либо часть материала перенести в специализированный раздел (как мы делаем с реконструированными формами в мини-разделе в конце лексическ</w:t>
      </w:r>
      <w:r w:rsidR="00350378">
        <w:t>ого указателя).</w:t>
      </w:r>
    </w:p>
    <w:p w:rsidR="004D2282" w:rsidRDefault="009C757E">
      <w:pPr>
        <w:spacing w:before="180" w:after="120"/>
      </w:pPr>
      <w:r>
        <w:rPr>
          <w:b/>
          <w:bCs/>
          <w:sz w:val="24"/>
          <w:szCs w:val="24"/>
        </w:rPr>
        <w:t>2</w:t>
      </w:r>
      <w:r w:rsidR="00350378">
        <w:rPr>
          <w:b/>
          <w:bCs/>
          <w:sz w:val="24"/>
          <w:szCs w:val="24"/>
        </w:rPr>
        <w:t>. Общие сведения</w:t>
      </w:r>
    </w:p>
    <w:p w:rsidR="004D2282" w:rsidRDefault="00350378">
      <w:pPr>
        <w:spacing w:after="120" w:line="280" w:lineRule="auto"/>
        <w:jc w:val="both"/>
      </w:pPr>
      <w:r>
        <w:t>Настоящая записка сопровождает два файла: «Лексический_указатель_полный.docx» (полная редакция, 1396 вокабул) и «Лексический_указатель_краткий.docx» (сокращенная редакция, 219 вокабул). Оба построены на одном и том же пере</w:t>
      </w:r>
      <w:r>
        <w:t>счете, отличаются только глубиной отбора материала. Решение о том, какой из вариантов войдет в книгу, остается за редколлегией.</w:t>
      </w:r>
    </w:p>
    <w:p w:rsidR="004D2282" w:rsidRDefault="00350378">
      <w:pPr>
        <w:spacing w:after="120" w:line="280" w:lineRule="auto"/>
        <w:jc w:val="both"/>
      </w:pPr>
      <w:r>
        <w:t>Это раздел VIII.1а′ «Алфавитный прямой» по нумерации Крылова. Обратный алфавитный указатель (VIII.1а′′) в печатном научно-популя</w:t>
      </w:r>
      <w:r>
        <w:t>рном издании не воспроизводится — его специальный читатель найдет в полном материале Крылова, приложенном отдельным файлом.</w:t>
      </w:r>
    </w:p>
    <w:p w:rsidR="004D2282" w:rsidRDefault="00952711">
      <w:pPr>
        <w:spacing w:before="180" w:after="120"/>
      </w:pPr>
      <w:r>
        <w:rPr>
          <w:b/>
          <w:bCs/>
          <w:sz w:val="24"/>
          <w:szCs w:val="24"/>
        </w:rPr>
        <w:t>3</w:t>
      </w:r>
      <w:r w:rsidR="00350378">
        <w:rPr>
          <w:b/>
          <w:bCs/>
          <w:sz w:val="24"/>
          <w:szCs w:val="24"/>
        </w:rPr>
        <w:t>. Объем указателя (полная редакция)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6000"/>
        <w:gridCol w:w="3360"/>
      </w:tblGrid>
      <w:tr w:rsidR="004D2282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2282" w:rsidRDefault="00350378"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2282" w:rsidRDefault="0035037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4D2282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2282" w:rsidRDefault="00350378">
            <w:r>
              <w:rPr>
                <w:sz w:val="20"/>
                <w:szCs w:val="20"/>
              </w:rPr>
              <w:lastRenderedPageBreak/>
              <w:t>Всего вокабул после слияния явных дубликатов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2282" w:rsidRDefault="00350378">
            <w:pPr>
              <w:jc w:val="center"/>
            </w:pPr>
            <w:r>
              <w:rPr>
                <w:sz w:val="20"/>
                <w:szCs w:val="20"/>
              </w:rPr>
              <w:t>1396</w:t>
            </w:r>
          </w:p>
        </w:tc>
      </w:tr>
      <w:tr w:rsidR="004D2282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2282" w:rsidRDefault="00350378">
            <w:r>
              <w:rPr>
                <w:sz w:val="20"/>
                <w:szCs w:val="20"/>
              </w:rPr>
              <w:t xml:space="preserve">  ▸ основной список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2282" w:rsidRDefault="00350378">
            <w:pPr>
              <w:jc w:val="center"/>
            </w:pPr>
            <w:r>
              <w:rPr>
                <w:sz w:val="20"/>
                <w:szCs w:val="20"/>
              </w:rPr>
              <w:t>1358</w:t>
            </w:r>
          </w:p>
        </w:tc>
      </w:tr>
      <w:tr w:rsidR="004D2282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2282" w:rsidRDefault="00350378">
            <w:r>
              <w:rPr>
                <w:sz w:val="20"/>
                <w:szCs w:val="20"/>
              </w:rPr>
              <w:t xml:space="preserve">  ▸ мини-раздел реконструированных и иноязычных форм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2282" w:rsidRDefault="00350378">
            <w:pPr>
              <w:jc w:val="center"/>
            </w:pPr>
            <w:r>
              <w:rPr>
                <w:sz w:val="20"/>
                <w:szCs w:val="20"/>
              </w:rPr>
              <w:t>38</w:t>
            </w:r>
          </w:p>
        </w:tc>
      </w:tr>
      <w:tr w:rsidR="004D2282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2282" w:rsidRDefault="00350378">
            <w:r>
              <w:rPr>
                <w:sz w:val="20"/>
                <w:szCs w:val="20"/>
              </w:rPr>
              <w:t>Обсуждаемых (выделены полужирным)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2282" w:rsidRDefault="00350378">
            <w:pPr>
              <w:jc w:val="center"/>
            </w:pPr>
            <w:r>
              <w:rPr>
                <w:sz w:val="20"/>
                <w:szCs w:val="20"/>
              </w:rPr>
              <w:t>219 (16 %)</w:t>
            </w:r>
          </w:p>
        </w:tc>
      </w:tr>
      <w:tr w:rsidR="004D2282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2282" w:rsidRDefault="00350378">
            <w:r>
              <w:rPr>
                <w:sz w:val="20"/>
                <w:szCs w:val="20"/>
              </w:rPr>
              <w:t>Гапаксов (упомянуты в книге ровно один раз)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2282" w:rsidRDefault="00350378">
            <w:pPr>
              <w:jc w:val="center"/>
            </w:pPr>
            <w:r>
              <w:rPr>
                <w:sz w:val="20"/>
                <w:szCs w:val="20"/>
              </w:rPr>
              <w:t>1177 (84 %)</w:t>
            </w:r>
          </w:p>
        </w:tc>
      </w:tr>
      <w:tr w:rsidR="004D2282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2282" w:rsidRDefault="00350378">
            <w:r>
              <w:rPr>
                <w:sz w:val="20"/>
                <w:szCs w:val="20"/>
              </w:rPr>
              <w:t>Помечены курсивом — требуют сверки редактором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2282" w:rsidRDefault="00350378">
            <w:pPr>
              <w:jc w:val="center"/>
            </w:pPr>
            <w:r>
              <w:rPr>
                <w:sz w:val="20"/>
                <w:szCs w:val="20"/>
              </w:rPr>
              <w:t>6 (0,4 %)</w:t>
            </w:r>
          </w:p>
        </w:tc>
      </w:tr>
      <w:tr w:rsidR="004D2282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2282" w:rsidRDefault="00350378">
            <w:r>
              <w:rPr>
                <w:sz w:val="20"/>
                <w:szCs w:val="20"/>
              </w:rPr>
              <w:t>Ожидаемый объем в верстке (две колонки, 9 пт)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2282" w:rsidRDefault="00350378">
            <w:pPr>
              <w:jc w:val="center"/>
            </w:pPr>
            <w:r>
              <w:rPr>
                <w:sz w:val="20"/>
                <w:szCs w:val="20"/>
              </w:rPr>
              <w:t>≈ 14–16 страниц</w:t>
            </w:r>
          </w:p>
        </w:tc>
      </w:tr>
    </w:tbl>
    <w:p w:rsidR="004D2282" w:rsidRDefault="00350378">
      <w:pPr>
        <w:spacing w:after="120" w:line="280" w:lineRule="auto"/>
        <w:jc w:val="both"/>
      </w:pPr>
      <w:r>
        <w:rPr>
          <w:sz w:val="20"/>
          <w:szCs w:val="20"/>
        </w:rPr>
        <w:t>Эти 6 в</w:t>
      </w:r>
      <w:r>
        <w:rPr>
          <w:sz w:val="20"/>
          <w:szCs w:val="20"/>
        </w:rPr>
        <w:t xml:space="preserve">окабул — реконструированные формы со звездочкой («ат*», «атіг*» и т. п.), для которых поиск принципиально невозможен по самой природе нотации, а не по проблемам кодировки. </w:t>
      </w:r>
    </w:p>
    <w:p w:rsidR="004D2282" w:rsidRDefault="00952711">
      <w:pPr>
        <w:spacing w:before="180" w:after="120"/>
      </w:pPr>
      <w:r>
        <w:rPr>
          <w:b/>
          <w:bCs/>
          <w:sz w:val="24"/>
          <w:szCs w:val="24"/>
        </w:rPr>
        <w:t>4</w:t>
      </w:r>
      <w:r w:rsidR="00350378">
        <w:rPr>
          <w:b/>
          <w:bCs/>
          <w:sz w:val="24"/>
          <w:szCs w:val="24"/>
        </w:rPr>
        <w:t>. Объем указателя (краткая редакция)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6000"/>
        <w:gridCol w:w="3360"/>
      </w:tblGrid>
      <w:tr w:rsidR="004D2282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2282" w:rsidRDefault="00350378"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2282" w:rsidRDefault="0035037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4D2282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2282" w:rsidRDefault="00350378">
            <w:r>
              <w:rPr>
                <w:sz w:val="20"/>
                <w:szCs w:val="20"/>
              </w:rPr>
              <w:t>Всего вокабул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2282" w:rsidRDefault="00350378">
            <w:pPr>
              <w:jc w:val="center"/>
            </w:pPr>
            <w:r>
              <w:rPr>
                <w:sz w:val="20"/>
                <w:szCs w:val="20"/>
              </w:rPr>
              <w:t>219</w:t>
            </w:r>
          </w:p>
        </w:tc>
      </w:tr>
      <w:tr w:rsidR="004D2282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2282" w:rsidRDefault="00350378">
            <w:r>
              <w:rPr>
                <w:sz w:val="20"/>
                <w:szCs w:val="20"/>
              </w:rPr>
              <w:t>Принцип отбора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2282" w:rsidRDefault="00350378">
            <w:pPr>
              <w:jc w:val="center"/>
            </w:pPr>
            <w:r>
              <w:rPr>
                <w:sz w:val="20"/>
                <w:szCs w:val="20"/>
              </w:rPr>
              <w:t>≥ 2 стр. упоминаний</w:t>
            </w:r>
          </w:p>
        </w:tc>
      </w:tr>
      <w:tr w:rsidR="004D2282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2282" w:rsidRDefault="00350378">
            <w:r>
              <w:rPr>
                <w:sz w:val="20"/>
                <w:szCs w:val="20"/>
              </w:rPr>
              <w:t>Реконструированные формы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2282" w:rsidRDefault="00350378">
            <w:pPr>
              <w:jc w:val="center"/>
            </w:pPr>
            <w:r>
              <w:rPr>
                <w:sz w:val="20"/>
                <w:szCs w:val="20"/>
              </w:rPr>
              <w:t>исключены</w:t>
            </w:r>
          </w:p>
        </w:tc>
      </w:tr>
      <w:tr w:rsidR="004D2282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2282" w:rsidRDefault="00350378">
            <w:r>
              <w:rPr>
                <w:sz w:val="20"/>
                <w:szCs w:val="20"/>
              </w:rPr>
              <w:t>Ожидаемый объем в верстке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D2282" w:rsidRDefault="00350378">
            <w:pPr>
              <w:jc w:val="center"/>
            </w:pPr>
            <w:r>
              <w:rPr>
                <w:sz w:val="20"/>
                <w:szCs w:val="20"/>
              </w:rPr>
              <w:t>≈ 4–5 страниц</w:t>
            </w:r>
          </w:p>
        </w:tc>
      </w:tr>
    </w:tbl>
    <w:p w:rsidR="004D2282" w:rsidRDefault="00952711">
      <w:pPr>
        <w:spacing w:before="180" w:after="120"/>
      </w:pPr>
      <w:r>
        <w:rPr>
          <w:b/>
          <w:bCs/>
          <w:sz w:val="24"/>
          <w:szCs w:val="24"/>
        </w:rPr>
        <w:t>5</w:t>
      </w:r>
      <w:r w:rsidR="00350378">
        <w:rPr>
          <w:b/>
          <w:bCs/>
          <w:sz w:val="24"/>
          <w:szCs w:val="24"/>
        </w:rPr>
        <w:t>. Сведение словоформ: почему мы оставили это лингвисту</w:t>
      </w:r>
    </w:p>
    <w:p w:rsidR="004D2282" w:rsidRDefault="00350378">
      <w:pPr>
        <w:spacing w:after="120" w:line="280" w:lineRule="auto"/>
        <w:jc w:val="both"/>
      </w:pPr>
      <w:r>
        <w:t>Принцип 3 говорит: дубликаты сводятся к одной вокабуле там, где это однозначно. На практике обнаружились три уровня сведения, два из которых нельзя автоматизировать.</w:t>
      </w:r>
    </w:p>
    <w:p w:rsidR="004D2282" w:rsidRDefault="00350378">
      <w:pPr>
        <w:spacing w:after="120" w:line="280" w:lineRule="auto"/>
        <w:jc w:val="both"/>
      </w:pPr>
      <w:r>
        <w:t>Что слилось автоматически (5 случаев). Только формы, отличающиеся регистром: «Вася / вася»</w:t>
      </w:r>
      <w:r>
        <w:t>, «Sau / sau», «коровы / Коровы», «русъ / Русъ» и одна спорная пара. Сэкономлено 8 строк указателя.</w:t>
      </w:r>
    </w:p>
    <w:p w:rsidR="004D2282" w:rsidRDefault="00350378">
      <w:pPr>
        <w:spacing w:after="120" w:line="280" w:lineRule="auto"/>
        <w:jc w:val="both"/>
      </w:pPr>
      <w:r>
        <w:t xml:space="preserve">Что не слилось — и почему. (а) Группировка по корню («гривна / гривне / гривну / гривны / гривъні» → «гривна») технически возможна, но в смежных случаях слишком агрессивна и сливает разные лексемы: «палец» с «палкой», «угол» с «углем», «верить» с «верг-». </w:t>
      </w:r>
      <w:r>
        <w:t>Алгоритм не различает омонимичных корней — это умеет только лингвист, знающий парадигму. (б) Группировка по ударению («говорил / гово́рил / говори́л» → одна вокабула) была отвергнута сознательно: Зализняк специально показывает разные ударения как разные ис</w:t>
      </w:r>
      <w:r>
        <w:t>торические варианты, и сводить их в одну вокабулу — потеря именно той информации, ради которой они в указатель попали. Например, «вои́н / во́ин», «или / или́ / и́ли» — это не дубликаты, а материал для лекции «Из русского ударения» и для лекции «Или и уже».</w:t>
      </w:r>
    </w:p>
    <w:p w:rsidR="004D2282" w:rsidRDefault="00350378">
      <w:pPr>
        <w:spacing w:after="120" w:line="280" w:lineRule="auto"/>
        <w:jc w:val="both"/>
      </w:pPr>
      <w:r>
        <w:t xml:space="preserve">Что предлагается сделать в редакторском проходе. Если редколлегия </w:t>
      </w:r>
      <w:r>
        <w:t xml:space="preserve">сочтет нужным дополнительное сведение — это работа для одного-двух часов на лингвиста, и она должна делаться вручную, с разбором каждой пары. Технически, после такой </w:t>
      </w:r>
      <w:r>
        <w:t>ручной разметки файлы пересобираются автоматически за один проход. По нашей оценке, сведение по корням может сэкономить около 100–150 вокабул из 1396 — это значимое, но не радикальное сокращение, не меняющее общий вид указателя.</w:t>
      </w:r>
    </w:p>
    <w:p w:rsidR="004D2282" w:rsidRDefault="00952711">
      <w:pPr>
        <w:spacing w:before="180" w:after="120"/>
      </w:pPr>
      <w:r>
        <w:rPr>
          <w:b/>
          <w:bCs/>
          <w:sz w:val="24"/>
          <w:szCs w:val="24"/>
        </w:rPr>
        <w:t>6</w:t>
      </w:r>
      <w:r w:rsidR="00350378">
        <w:rPr>
          <w:b/>
          <w:bCs/>
          <w:sz w:val="24"/>
          <w:szCs w:val="24"/>
        </w:rPr>
        <w:t>. О сопроводительных файлах</w:t>
      </w:r>
    </w:p>
    <w:p w:rsidR="004D2282" w:rsidRDefault="00350378">
      <w:pPr>
        <w:spacing w:after="120" w:line="280" w:lineRule="auto"/>
        <w:jc w:val="both"/>
      </w:pPr>
      <w:r>
        <w:rPr>
          <w:sz w:val="20"/>
          <w:szCs w:val="20"/>
        </w:rPr>
        <w:t>• Лексический_указатель_полный.docx — полная редакция (1396 вокабул) с мини-разделом реконструированных форм в конце.</w:t>
      </w:r>
    </w:p>
    <w:p w:rsidR="004D2282" w:rsidRDefault="00350378">
      <w:pPr>
        <w:spacing w:after="120" w:line="280" w:lineRule="auto"/>
        <w:jc w:val="both"/>
      </w:pPr>
      <w:r>
        <w:rPr>
          <w:sz w:val="20"/>
          <w:szCs w:val="20"/>
        </w:rPr>
        <w:lastRenderedPageBreak/>
        <w:t>• Лексический_указатель_краткий.docx — краткая редакция (219 вокабул, только обсуждаемые).</w:t>
      </w:r>
    </w:p>
    <w:p w:rsidR="004D2282" w:rsidRDefault="00350378">
      <w:pPr>
        <w:spacing w:after="120" w:line="280" w:lineRule="auto"/>
        <w:jc w:val="both"/>
      </w:pPr>
      <w:r>
        <w:rPr>
          <w:sz w:val="20"/>
          <w:szCs w:val="20"/>
        </w:rPr>
        <w:t>• Указате</w:t>
      </w:r>
      <w:r>
        <w:rPr>
          <w:sz w:val="20"/>
          <w:szCs w:val="20"/>
        </w:rPr>
        <w:t>ль_топонимов.docx + аналитика — отдельным файлом.</w:t>
      </w:r>
    </w:p>
    <w:p w:rsidR="004D2282" w:rsidRDefault="00350378">
      <w:pPr>
        <w:spacing w:after="120" w:line="280" w:lineRule="auto"/>
        <w:jc w:val="both"/>
      </w:pPr>
      <w:r>
        <w:rPr>
          <w:sz w:val="20"/>
          <w:szCs w:val="20"/>
        </w:rPr>
        <w:t>• Указатели_Крылова_</w:t>
      </w:r>
      <w:r w:rsidR="00952711">
        <w:rPr>
          <w:sz w:val="20"/>
          <w:szCs w:val="20"/>
        </w:rPr>
        <w:t>2026</w:t>
      </w:r>
      <w:r>
        <w:rPr>
          <w:sz w:val="20"/>
          <w:szCs w:val="20"/>
        </w:rPr>
        <w:t>.docx — полный материал указателей В. М. Крылова, все 28 разделов (I–VIII), пересчитанные на новую верстку и оформленные в стиле книги 2026. Без обратного алфавитного.</w:t>
      </w:r>
    </w:p>
    <w:p w:rsidR="004D2282" w:rsidRDefault="00350378">
      <w:pPr>
        <w:spacing w:after="120" w:line="280" w:lineRule="auto"/>
        <w:jc w:val="both"/>
      </w:pPr>
      <w:r>
        <w:rPr>
          <w:sz w:val="20"/>
          <w:szCs w:val="20"/>
        </w:rPr>
        <w:t>• Име</w:t>
      </w:r>
      <w:r>
        <w:rPr>
          <w:sz w:val="20"/>
          <w:szCs w:val="20"/>
        </w:rPr>
        <w:t>нной_указатель.docx — отдельным файлом</w:t>
      </w:r>
      <w:r>
        <w:rPr>
          <w:sz w:val="20"/>
          <w:szCs w:val="20"/>
        </w:rPr>
        <w:t>.</w:t>
      </w:r>
    </w:p>
    <w:sectPr w:rsidR="004D2282" w:rsidSect="004D228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PT Serif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C81C2E"/>
    <w:multiLevelType w:val="hybridMultilevel"/>
    <w:tmpl w:val="7B0ABAEC"/>
    <w:lvl w:ilvl="0" w:tplc="A6465190">
      <w:start w:val="1"/>
      <w:numFmt w:val="bullet"/>
      <w:lvlText w:val="●"/>
      <w:lvlJc w:val="left"/>
      <w:pPr>
        <w:ind w:left="720" w:hanging="360"/>
      </w:pPr>
    </w:lvl>
    <w:lvl w:ilvl="1" w:tplc="637CFDA0">
      <w:start w:val="1"/>
      <w:numFmt w:val="bullet"/>
      <w:lvlText w:val="○"/>
      <w:lvlJc w:val="left"/>
      <w:pPr>
        <w:ind w:left="1440" w:hanging="360"/>
      </w:pPr>
    </w:lvl>
    <w:lvl w:ilvl="2" w:tplc="A418D4DC">
      <w:start w:val="1"/>
      <w:numFmt w:val="bullet"/>
      <w:lvlText w:val="■"/>
      <w:lvlJc w:val="left"/>
      <w:pPr>
        <w:ind w:left="2160" w:hanging="360"/>
      </w:pPr>
    </w:lvl>
    <w:lvl w:ilvl="3" w:tplc="86E45024">
      <w:start w:val="1"/>
      <w:numFmt w:val="bullet"/>
      <w:lvlText w:val="●"/>
      <w:lvlJc w:val="left"/>
      <w:pPr>
        <w:ind w:left="2880" w:hanging="360"/>
      </w:pPr>
    </w:lvl>
    <w:lvl w:ilvl="4" w:tplc="E74C0192">
      <w:start w:val="1"/>
      <w:numFmt w:val="bullet"/>
      <w:lvlText w:val="○"/>
      <w:lvlJc w:val="left"/>
      <w:pPr>
        <w:ind w:left="3600" w:hanging="360"/>
      </w:pPr>
    </w:lvl>
    <w:lvl w:ilvl="5" w:tplc="7F46FD4E">
      <w:start w:val="1"/>
      <w:numFmt w:val="bullet"/>
      <w:lvlText w:val="■"/>
      <w:lvlJc w:val="left"/>
      <w:pPr>
        <w:ind w:left="4320" w:hanging="360"/>
      </w:pPr>
    </w:lvl>
    <w:lvl w:ilvl="6" w:tplc="51A46F5C">
      <w:start w:val="1"/>
      <w:numFmt w:val="bullet"/>
      <w:lvlText w:val="●"/>
      <w:lvlJc w:val="left"/>
      <w:pPr>
        <w:ind w:left="5040" w:hanging="360"/>
      </w:pPr>
    </w:lvl>
    <w:lvl w:ilvl="7" w:tplc="A1301DDC">
      <w:start w:val="1"/>
      <w:numFmt w:val="bullet"/>
      <w:lvlText w:val="●"/>
      <w:lvlJc w:val="left"/>
      <w:pPr>
        <w:ind w:left="5760" w:hanging="360"/>
      </w:pPr>
    </w:lvl>
    <w:lvl w:ilvl="8" w:tplc="FC2E014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isplayBackgroundShape/>
  <w:proofState w:spelling="clean" w:grammar="clean"/>
  <w:defaultTabStop w:val="708"/>
  <w:characterSpacingControl w:val="doNotCompress"/>
  <w:compat/>
  <w:rsids>
    <w:rsidRoot w:val="004D2282"/>
    <w:rsid w:val="00350378"/>
    <w:rsid w:val="004D2282"/>
    <w:rsid w:val="00952711"/>
    <w:rsid w:val="009C75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PT Serif" w:eastAsia="PT Serif" w:hAnsi="PT Serif" w:cs="PT Serif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sid w:val="004D2282"/>
    <w:rPr>
      <w:sz w:val="56"/>
      <w:szCs w:val="56"/>
    </w:rPr>
  </w:style>
  <w:style w:type="paragraph" w:customStyle="1" w:styleId="Heading1">
    <w:name w:val="Heading 1"/>
    <w:qFormat/>
    <w:rsid w:val="004D2282"/>
    <w:rPr>
      <w:color w:val="2E74B5"/>
      <w:sz w:val="32"/>
      <w:szCs w:val="32"/>
    </w:rPr>
  </w:style>
  <w:style w:type="paragraph" w:customStyle="1" w:styleId="Heading2">
    <w:name w:val="Heading 2"/>
    <w:qFormat/>
    <w:rsid w:val="004D2282"/>
    <w:rPr>
      <w:color w:val="2E74B5"/>
      <w:sz w:val="26"/>
      <w:szCs w:val="26"/>
    </w:rPr>
  </w:style>
  <w:style w:type="paragraph" w:customStyle="1" w:styleId="Heading3">
    <w:name w:val="Heading 3"/>
    <w:qFormat/>
    <w:rsid w:val="004D2282"/>
    <w:rPr>
      <w:color w:val="1F4D78"/>
      <w:sz w:val="24"/>
      <w:szCs w:val="24"/>
    </w:rPr>
  </w:style>
  <w:style w:type="paragraph" w:customStyle="1" w:styleId="Heading4">
    <w:name w:val="Heading 4"/>
    <w:qFormat/>
    <w:rsid w:val="004D2282"/>
    <w:rPr>
      <w:i/>
      <w:iCs/>
      <w:color w:val="2E74B5"/>
    </w:rPr>
  </w:style>
  <w:style w:type="paragraph" w:customStyle="1" w:styleId="Heading5">
    <w:name w:val="Heading 5"/>
    <w:qFormat/>
    <w:rsid w:val="004D2282"/>
    <w:rPr>
      <w:color w:val="2E74B5"/>
    </w:rPr>
  </w:style>
  <w:style w:type="paragraph" w:customStyle="1" w:styleId="Heading6">
    <w:name w:val="Heading 6"/>
    <w:qFormat/>
    <w:rsid w:val="004D2282"/>
    <w:rPr>
      <w:color w:val="1F4D78"/>
    </w:rPr>
  </w:style>
  <w:style w:type="paragraph" w:customStyle="1" w:styleId="1">
    <w:name w:val="Строгий1"/>
    <w:qFormat/>
    <w:rsid w:val="004D2282"/>
    <w:rPr>
      <w:b/>
      <w:bCs/>
    </w:rPr>
  </w:style>
  <w:style w:type="paragraph" w:styleId="a4">
    <w:name w:val="List Paragraph"/>
    <w:qFormat/>
    <w:rsid w:val="004D2282"/>
  </w:style>
  <w:style w:type="character" w:styleId="a5">
    <w:name w:val="Hyperlink"/>
    <w:uiPriority w:val="99"/>
    <w:unhideWhenUsed/>
    <w:rsid w:val="004D2282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4D2282"/>
    <w:rPr>
      <w:vertAlign w:val="superscript"/>
    </w:rPr>
  </w:style>
  <w:style w:type="paragraph" w:styleId="a7">
    <w:name w:val="footnote text"/>
    <w:link w:val="a8"/>
    <w:uiPriority w:val="99"/>
    <w:semiHidden/>
    <w:unhideWhenUsed/>
    <w:rsid w:val="004D2282"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sid w:val="004D2282"/>
    <w:rPr>
      <w:sz w:val="20"/>
      <w:szCs w:val="20"/>
    </w:rPr>
  </w:style>
  <w:style w:type="character" w:styleId="a9">
    <w:name w:val="endnote reference"/>
    <w:uiPriority w:val="99"/>
    <w:semiHidden/>
    <w:unhideWhenUsed/>
    <w:rsid w:val="004D2282"/>
    <w:rPr>
      <w:vertAlign w:val="superscript"/>
    </w:rPr>
  </w:style>
  <w:style w:type="paragraph" w:styleId="aa">
    <w:name w:val="endnote text"/>
    <w:link w:val="ab"/>
    <w:uiPriority w:val="99"/>
    <w:semiHidden/>
    <w:unhideWhenUsed/>
    <w:rsid w:val="004D2282"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sid w:val="004D2282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842</Words>
  <Characters>4803</Characters>
  <Application>Microsoft Office Word</Application>
  <DocSecurity>0</DocSecurity>
  <Lines>40</Lines>
  <Paragraphs>11</Paragraphs>
  <ScaleCrop>false</ScaleCrop>
  <Company>diakov.net</Company>
  <LinksUpToDate>false</LinksUpToDate>
  <CharactersWithSpaces>5634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</cp:lastModifiedBy>
  <cp:revision>4</cp:revision>
  <dcterms:created xsi:type="dcterms:W3CDTF">2026-04-09T15:14:00Z</dcterms:created>
  <dcterms:modified xsi:type="dcterms:W3CDTF">2026-04-09T15:41:00Z</dcterms:modified>
</cp:coreProperties>
</file>