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PT Serif" w:cs="PT Serif" w:eastAsia="PT Serif" w:hAnsi="PT Serif"/>
          <w:b/>
          <w:bCs/>
          <w:sz w:val="28"/>
          <w:szCs w:val="28"/>
        </w:rPr>
        <w:t xml:space="preserve">Аналитическая записка к указателю имен</w:t>
      </w:r>
    </w:p>
    <w:p>
      <w:pPr>
        <w:spacing w:after="120" w:line="280"/>
        <w:jc w:val="both"/>
      </w:pPr>
      <w:r>
        <w:rPr>
          <w:rFonts w:ascii="PT Serif" w:cs="PT Serif" w:eastAsia="PT Serif" w:hAnsi="PT Serif"/>
          <w:b w:val="false"/>
          <w:bCs w:val="false"/>
          <w:i/>
          <w:iCs/>
          <w:sz w:val="20"/>
          <w:szCs w:val="20"/>
        </w:rPr>
        <w:t xml:space="preserve">К проекту: А. А. Зализняк. Из жизни слов и языков. М.: Альпина нон-фикшн, 2026. — 404 с.</w:t>
      </w:r>
    </w:p>
    <w:p>
      <w:pPr>
        <w:spacing w:after="120" w:line="280"/>
        <w:jc w:val="both"/>
      </w:pPr>
      <w:r>
        <w:rPr>
          <w:rFonts w:ascii="PT Serif" w:cs="PT Serif" w:eastAsia="PT Serif" w:hAnsi="PT Serif"/>
          <w:b w:val="false"/>
          <w:bCs w:val="false"/>
          <w:i/>
          <w:iCs/>
          <w:sz w:val="20"/>
          <w:szCs w:val="20"/>
        </w:rPr>
        <w:t xml:space="preserve">Источник: разделы VI «Именной указатель лингвистов», I.2 «Имена примечательных носителей языка» и II.2 «Имена исторических лиц» в материале В. М. Крылова. Применен общий метод пересчета страниц через карту по якорям, описанный в записке к лексическому указателю.</w:t>
      </w:r>
    </w:p>
    <w:p>
      <w:pPr>
        <w:spacing w:after="120" w:before="180"/>
      </w:pPr>
      <w:r>
        <w:rPr>
          <w:rFonts w:ascii="PT Serif" w:cs="PT Serif" w:eastAsia="PT Serif" w:hAnsi="PT Serif"/>
          <w:b/>
          <w:bCs/>
          <w:sz w:val="24"/>
          <w:szCs w:val="24"/>
        </w:rPr>
        <w:t xml:space="preserve">1. Объем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tcPr>
          <w:p>
            <w:pPr>
              <w:jc w:val="left"/>
            </w:pPr>
            <w:r>
              <w:rPr>
                <w:rFonts w:ascii="PT Serif" w:cs="PT Serif" w:eastAsia="PT Serif" w:hAnsi="PT Serif"/>
                <w:b/>
                <w:bCs/>
                <w:sz w:val="20"/>
                <w:szCs w:val="20"/>
              </w:rPr>
              <w:t xml:space="preserve">Параметр</w:t>
            </w:r>
          </w:p>
        </w:tc>
        <w:tc>
          <w:tcPr>
            <w:tcW w:type="dxa" w:w="336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tcPr>
          <w:p>
            <w:pPr>
              <w:jc w:val="center"/>
            </w:pPr>
            <w:r>
              <w:rPr>
                <w:rFonts w:ascii="PT Serif" w:cs="PT Serif" w:eastAsia="PT Serif" w:hAnsi="PT Serif"/>
                <w:b/>
                <w:bCs/>
                <w:sz w:val="20"/>
                <w:szCs w:val="20"/>
              </w:rPr>
              <w:t xml:space="preserve">Значение</w:t>
            </w:r>
          </w:p>
        </w:tc>
      </w:tr>
      <w:tr>
        <w:tc>
          <w:tcPr>
            <w:tcW w:type="dxa" w:w="6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PT Serif" w:cs="PT Serif" w:eastAsia="PT Serif" w:hAnsi="PT Serif"/>
                <w:b w:val="false"/>
                <w:bCs w:val="false"/>
                <w:sz w:val="20"/>
                <w:szCs w:val="20"/>
              </w:rPr>
              <w:t xml:space="preserve">Всего вокабул в исходных трех разделах</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PT Serif" w:cs="PT Serif" w:eastAsia="PT Serif" w:hAnsi="PT Serif"/>
                <w:b w:val="false"/>
                <w:bCs w:val="false"/>
                <w:sz w:val="20"/>
                <w:szCs w:val="20"/>
              </w:rPr>
              <w:t xml:space="preserve">94</w:t>
            </w:r>
          </w:p>
        </w:tc>
      </w:tr>
      <w:tr>
        <w:tc>
          <w:tcPr>
            <w:tcW w:type="dxa" w:w="6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PT Serif" w:cs="PT Serif" w:eastAsia="PT Serif" w:hAnsi="PT Serif"/>
                <w:b w:val="false"/>
                <w:bCs w:val="false"/>
                <w:sz w:val="20"/>
                <w:szCs w:val="20"/>
              </w:rPr>
              <w:t xml:space="preserve">  ▸ VI: лингвисты</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PT Serif" w:cs="PT Serif" w:eastAsia="PT Serif" w:hAnsi="PT Serif"/>
                <w:b w:val="false"/>
                <w:bCs w:val="false"/>
                <w:sz w:val="20"/>
                <w:szCs w:val="20"/>
              </w:rPr>
              <w:t xml:space="preserve">69</w:t>
            </w:r>
          </w:p>
        </w:tc>
      </w:tr>
      <w:tr>
        <w:tc>
          <w:tcPr>
            <w:tcW w:type="dxa" w:w="6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PT Serif" w:cs="PT Serif" w:eastAsia="PT Serif" w:hAnsi="PT Serif"/>
                <w:b w:val="false"/>
                <w:bCs w:val="false"/>
                <w:sz w:val="20"/>
                <w:szCs w:val="20"/>
              </w:rPr>
              <w:t xml:space="preserve">  ▸ I.2: носители языка (поэты, писатели и др.)</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PT Serif" w:cs="PT Serif" w:eastAsia="PT Serif" w:hAnsi="PT Serif"/>
                <w:b w:val="false"/>
                <w:bCs w:val="false"/>
                <w:sz w:val="20"/>
                <w:szCs w:val="20"/>
              </w:rPr>
              <w:t xml:space="preserve">15</w:t>
            </w:r>
          </w:p>
        </w:tc>
      </w:tr>
      <w:tr>
        <w:tc>
          <w:tcPr>
            <w:tcW w:type="dxa" w:w="6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PT Serif" w:cs="PT Serif" w:eastAsia="PT Serif" w:hAnsi="PT Serif"/>
                <w:b w:val="false"/>
                <w:bCs w:val="false"/>
                <w:sz w:val="20"/>
                <w:szCs w:val="20"/>
              </w:rPr>
              <w:t xml:space="preserve">  ▸ II.2: исторические лица</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PT Serif" w:cs="PT Serif" w:eastAsia="PT Serif" w:hAnsi="PT Serif"/>
                <w:b w:val="false"/>
                <w:bCs w:val="false"/>
                <w:sz w:val="20"/>
                <w:szCs w:val="20"/>
              </w:rPr>
              <w:t xml:space="preserve">10</w:t>
            </w:r>
          </w:p>
        </w:tc>
      </w:tr>
      <w:tr>
        <w:tc>
          <w:tcPr>
            <w:tcW w:type="dxa" w:w="6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PT Serif" w:cs="PT Serif" w:eastAsia="PT Serif" w:hAnsi="PT Serif"/>
                <w:b w:val="false"/>
                <w:bCs w:val="false"/>
                <w:sz w:val="20"/>
                <w:szCs w:val="20"/>
              </w:rPr>
              <w:t xml:space="preserve">Исключено: «{Из зала}» — коллективная вокабула</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PT Serif" w:cs="PT Serif" w:eastAsia="PT Serif" w:hAnsi="PT Serif"/>
                <w:b w:val="false"/>
                <w:bCs w:val="false"/>
                <w:sz w:val="20"/>
                <w:szCs w:val="20"/>
              </w:rPr>
              <w:t xml:space="preserve">1</w:t>
            </w:r>
          </w:p>
        </w:tc>
      </w:tr>
      <w:tr>
        <w:tc>
          <w:tcPr>
            <w:tcW w:type="dxa" w:w="6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PT Serif" w:cs="PT Serif" w:eastAsia="PT Serif" w:hAnsi="PT Serif"/>
                <w:b w:val="false"/>
                <w:bCs w:val="false"/>
                <w:sz w:val="20"/>
                <w:szCs w:val="20"/>
              </w:rPr>
              <w:t xml:space="preserve">Исключено: мусор от заголовков с переносом</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PT Serif" w:cs="PT Serif" w:eastAsia="PT Serif" w:hAnsi="PT Serif"/>
                <w:b w:val="false"/>
                <w:bCs w:val="false"/>
                <w:sz w:val="20"/>
                <w:szCs w:val="20"/>
              </w:rPr>
              <w:t xml:space="preserve">2</w:t>
            </w:r>
          </w:p>
        </w:tc>
      </w:tr>
      <w:tr>
        <w:tc>
          <w:tcPr>
            <w:tcW w:type="dxa" w:w="6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PT Serif" w:cs="PT Serif" w:eastAsia="PT Serif" w:hAnsi="PT Serif"/>
                <w:b w:val="false"/>
                <w:bCs w:val="false"/>
                <w:sz w:val="20"/>
                <w:szCs w:val="20"/>
              </w:rPr>
              <w:t xml:space="preserve">После объединения дубликатов с инверсией</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PT Serif" w:cs="PT Serif" w:eastAsia="PT Serif" w:hAnsi="PT Serif"/>
                <w:b w:val="false"/>
                <w:bCs w:val="false"/>
                <w:sz w:val="20"/>
                <w:szCs w:val="20"/>
              </w:rPr>
              <w:t xml:space="preserve">91</w:t>
            </w:r>
          </w:p>
        </w:tc>
      </w:tr>
      <w:tr>
        <w:tc>
          <w:tcPr>
            <w:tcW w:type="dxa" w:w="6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PT Serif" w:cs="PT Serif" w:eastAsia="PT Serif" w:hAnsi="PT Serif"/>
                <w:b w:val="false"/>
                <w:bCs w:val="false"/>
                <w:sz w:val="20"/>
                <w:szCs w:val="20"/>
              </w:rPr>
              <w:t xml:space="preserve">Обсуждаемых (выделены полужирным)</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PT Serif" w:cs="PT Serif" w:eastAsia="PT Serif" w:hAnsi="PT Serif"/>
                <w:b w:val="false"/>
                <w:bCs w:val="false"/>
                <w:sz w:val="20"/>
                <w:szCs w:val="20"/>
              </w:rPr>
              <w:t xml:space="preserve">29 (32 %)</w:t>
            </w:r>
          </w:p>
        </w:tc>
      </w:tr>
      <w:tr>
        <w:tc>
          <w:tcPr>
            <w:tcW w:type="dxa" w:w="6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PT Serif" w:cs="PT Serif" w:eastAsia="PT Serif" w:hAnsi="PT Serif"/>
                <w:b w:val="false"/>
                <w:bCs w:val="false"/>
                <w:sz w:val="20"/>
                <w:szCs w:val="20"/>
              </w:rPr>
              <w:t xml:space="preserve">Однократных упоминаний</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PT Serif" w:cs="PT Serif" w:eastAsia="PT Serif" w:hAnsi="PT Serif"/>
                <w:b w:val="false"/>
                <w:bCs w:val="false"/>
                <w:sz w:val="20"/>
                <w:szCs w:val="20"/>
              </w:rPr>
              <w:t xml:space="preserve">62 (68 %)</w:t>
            </w:r>
          </w:p>
        </w:tc>
      </w:tr>
      <w:tr>
        <w:tc>
          <w:tcPr>
            <w:tcW w:type="dxa" w:w="6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PT Serif" w:cs="PT Serif" w:eastAsia="PT Serif" w:hAnsi="PT Serif"/>
                <w:b w:val="false"/>
                <w:bCs w:val="false"/>
                <w:sz w:val="20"/>
                <w:szCs w:val="20"/>
              </w:rPr>
              <w:t xml:space="preserve">Ожидаемый объем в верстке (две колонки)</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PT Serif" w:cs="PT Serif" w:eastAsia="PT Serif" w:hAnsi="PT Serif"/>
                <w:b w:val="false"/>
                <w:bCs w:val="false"/>
                <w:sz w:val="20"/>
                <w:szCs w:val="20"/>
              </w:rPr>
              <w:t xml:space="preserve">≈ 1,5–2 страницы</w:t>
            </w:r>
          </w:p>
        </w:tc>
      </w:tr>
    </w:tbl>
    <w:p>
      <w:pPr>
        <w:spacing w:after="120" w:before="180"/>
      </w:pPr>
      <w:r>
        <w:rPr>
          <w:rFonts w:ascii="PT Serif" w:cs="PT Serif" w:eastAsia="PT Serif" w:hAnsi="PT Serif"/>
          <w:b/>
          <w:bCs/>
          <w:sz w:val="24"/>
          <w:szCs w:val="24"/>
        </w:rPr>
        <w:t xml:space="preserve">2. Что сделано при переработке</w:t>
      </w:r>
    </w:p>
    <w:p>
      <w:pPr>
        <w:spacing w:after="120" w:line="280"/>
        <w:jc w:val="both"/>
      </w:pPr>
      <w:r>
        <w:rPr>
          <w:rFonts w:ascii="PT Serif" w:cs="PT Serif" w:eastAsia="PT Serif" w:hAnsi="PT Serif"/>
          <w:b w:val="false"/>
          <w:bCs w:val="false"/>
          <w:i w:val="false"/>
          <w:iCs w:val="false"/>
          <w:sz w:val="20"/>
          <w:szCs w:val="20"/>
        </w:rPr>
        <w:t xml:space="preserve">• Объединены три разнородных списка Крылова (лингвисты, носители языка, исторические лица) в один единый именной указатель. Это решение по принципу 2 нашей методологической рамки: «не дублировать существующие указатели». Три параллельных именных раздела для книги объемом 404 с. — избыточная фрагментация. Объединение упрощает пользование указателем без потери информации.</w:t>
      </w:r>
    </w:p>
    <w:p>
      <w:pPr>
        <w:spacing w:after="120" w:line="280"/>
        <w:jc w:val="both"/>
      </w:pPr>
      <w:r>
        <w:rPr>
          <w:rFonts w:ascii="PT Serif" w:cs="PT Serif" w:eastAsia="PT Serif" w:hAnsi="PT Serif"/>
          <w:b w:val="false"/>
          <w:bCs w:val="false"/>
          <w:i w:val="false"/>
          <w:iCs w:val="false"/>
          <w:sz w:val="20"/>
          <w:szCs w:val="20"/>
        </w:rPr>
        <w:t xml:space="preserve">• Исключена коллективная вокабула «{Из зала}» с восемьюдесятью с лишним страничными ссылками. Это не имя конкретного лица, а маркер реплик из аудитории; ее наличие в указателе технически корректно, но навигационно бесполезно. Решение зафиксировано в записке к редколлегии.</w:t>
      </w:r>
    </w:p>
    <w:p>
      <w:pPr>
        <w:spacing w:after="120" w:line="280"/>
        <w:jc w:val="both"/>
      </w:pPr>
      <w:r>
        <w:rPr>
          <w:rFonts w:ascii="PT Serif" w:cs="PT Serif" w:eastAsia="PT Serif" w:hAnsi="PT Serif"/>
          <w:b w:val="false"/>
          <w:bCs w:val="false"/>
          <w:i w:val="false"/>
          <w:iCs w:val="false"/>
          <w:sz w:val="20"/>
          <w:szCs w:val="20"/>
        </w:rPr>
        <w:t xml:space="preserve">• Объединены явные дубликаты с инверсией: «Аль Бируни» и «Бируни, Аль» сведены к одной вокабуле «Бируни, Аль‑» (форма с инверсией предпочтена по правилу Мильчина для арабских имен с артиклем).</w:t>
      </w:r>
    </w:p>
    <w:p>
      <w:pPr>
        <w:spacing w:after="120" w:line="280"/>
        <w:jc w:val="both"/>
      </w:pPr>
      <w:r>
        <w:rPr>
          <w:rFonts w:ascii="PT Serif" w:cs="PT Serif" w:eastAsia="PT Serif" w:hAnsi="PT Serif"/>
          <w:b w:val="false"/>
          <w:bCs w:val="false"/>
          <w:i w:val="false"/>
          <w:iCs w:val="false"/>
          <w:sz w:val="20"/>
          <w:szCs w:val="20"/>
        </w:rPr>
        <w:t xml:space="preserve">• Полужирным выделены 29 имен, обсуждаемых в книге содержательно (две и более страниц).</w:t>
      </w:r>
    </w:p>
    <w:p>
      <w:pPr>
        <w:spacing w:after="120" w:before="180"/>
      </w:pPr>
      <w:r>
        <w:rPr>
          <w:rFonts w:ascii="PT Serif" w:cs="PT Serif" w:eastAsia="PT Serif" w:hAnsi="PT Serif"/>
          <w:b/>
          <w:bCs/>
          <w:sz w:val="24"/>
          <w:szCs w:val="24"/>
        </w:rPr>
        <w:t xml:space="preserve">3. Полнота: проверка на пропуски</w:t>
      </w:r>
    </w:p>
    <w:p>
      <w:pPr>
        <w:spacing w:after="120" w:line="280"/>
        <w:jc w:val="both"/>
      </w:pPr>
      <w:r>
        <w:rPr>
          <w:rFonts w:ascii="PT Serif" w:cs="PT Serif" w:eastAsia="PT Serif" w:hAnsi="PT Serif"/>
          <w:b w:val="false"/>
          <w:bCs w:val="false"/>
          <w:i w:val="false"/>
          <w:iCs w:val="false"/>
          <w:sz w:val="22"/>
          <w:szCs w:val="22"/>
        </w:rPr>
        <w:t xml:space="preserve">Автоматический поиск по типичным фамилиям лингвистов, литераторов и исторических лиц обнаружил шесть кандидатов на возможное включение, отсутствующих у Крылова. Каждый требует контекстной проверки редактором — упоминание в тексте может относиться к одноимённому термину, городу или другому лицу.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tcPr>
          <w:p>
            <w:pPr>
              <w:jc w:val="left"/>
            </w:pPr>
            <w:r>
              <w:rPr>
                <w:rFonts w:ascii="PT Serif" w:cs="PT Serif" w:eastAsia="PT Serif" w:hAnsi="PT Serif"/>
                <w:b/>
                <w:bCs/>
                <w:sz w:val="20"/>
                <w:szCs w:val="20"/>
              </w:rPr>
              <w:t xml:space="preserve">Кандидат</w:t>
            </w:r>
          </w:p>
        </w:tc>
        <w:tc>
          <w:tcPr>
            <w:tcW w:type="dxa" w:w="240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tcPr>
          <w:p>
            <w:pPr>
              <w:jc w:val="center"/>
            </w:pPr>
            <w:r>
              <w:rPr>
                <w:rFonts w:ascii="PT Serif" w:cs="PT Serif" w:eastAsia="PT Serif" w:hAnsi="PT Serif"/>
                <w:b/>
                <w:bCs/>
                <w:sz w:val="20"/>
                <w:szCs w:val="20"/>
              </w:rPr>
              <w:t xml:space="preserve">Страницы</w:t>
            </w:r>
          </w:p>
        </w:tc>
        <w:tc>
          <w:tcPr>
            <w:tcW w:type="dxa" w:w="496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tcPr>
          <w:p>
            <w:pPr>
              <w:jc w:val="left"/>
            </w:pPr>
            <w:r>
              <w:rPr>
                <w:rFonts w:ascii="PT Serif" w:cs="PT Serif" w:eastAsia="PT Serif" w:hAnsi="PT Serif"/>
                <w:b/>
                <w:bCs/>
                <w:sz w:val="20"/>
                <w:szCs w:val="20"/>
              </w:rPr>
              <w:t xml:space="preserve">Что нужно проверить</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PT Serif" w:cs="PT Serif" w:eastAsia="PT Serif" w:hAnsi="PT Serif"/>
                <w:b w:val="false"/>
                <w:bCs w:val="false"/>
                <w:sz w:val="20"/>
                <w:szCs w:val="20"/>
              </w:rPr>
              <w:t xml:space="preserve">Зализняк А. А.</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PT Serif" w:cs="PT Serif" w:eastAsia="PT Serif" w:hAnsi="PT Serif"/>
                <w:b w:val="false"/>
                <w:bCs w:val="false"/>
                <w:sz w:val="20"/>
                <w:szCs w:val="20"/>
              </w:rPr>
              <w:t xml:space="preserve">13, 18, 27, 80, 250</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PT Serif" w:cs="PT Serif" w:eastAsia="PT Serif" w:hAnsi="PT Serif"/>
                <w:b w:val="false"/>
                <w:bCs w:val="false"/>
                <w:sz w:val="20"/>
                <w:szCs w:val="20"/>
              </w:rPr>
              <w:t xml:space="preserve">Особый случай: автор книги в указателе своей же книги. По Мильчину — обычно не индексируется, кроме случаев, когда упоминается в речи третьих лиц (стр. 13 — предисловие И. Б. Иткина).</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PT Serif" w:cs="PT Serif" w:eastAsia="PT Serif" w:hAnsi="PT Serif"/>
                <w:b w:val="false"/>
                <w:bCs w:val="false"/>
                <w:sz w:val="20"/>
                <w:szCs w:val="20"/>
              </w:rPr>
              <w:t xml:space="preserve">Иванов</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PT Serif" w:cs="PT Serif" w:eastAsia="PT Serif" w:hAnsi="PT Serif"/>
                <w:b w:val="false"/>
                <w:bCs w:val="false"/>
                <w:sz w:val="20"/>
                <w:szCs w:val="20"/>
              </w:rPr>
              <w:t xml:space="preserve">259</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PT Serif" w:cs="PT Serif" w:eastAsia="PT Serif" w:hAnsi="PT Serif"/>
                <w:b w:val="false"/>
                <w:bCs w:val="false"/>
                <w:sz w:val="20"/>
                <w:szCs w:val="20"/>
              </w:rPr>
              <w:t xml:space="preserve">Лингвист (Вяч. Вс. Иванов?) или однофамилец? Проверить контекст.</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PT Serif" w:cs="PT Serif" w:eastAsia="PT Serif" w:hAnsi="PT Serif"/>
                <w:b w:val="false"/>
                <w:bCs w:val="false"/>
                <w:sz w:val="20"/>
                <w:szCs w:val="20"/>
              </w:rPr>
              <w:t xml:space="preserve">Владимир</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PT Serif" w:cs="PT Serif" w:eastAsia="PT Serif" w:hAnsi="PT Serif"/>
                <w:b w:val="false"/>
                <w:bCs w:val="false"/>
                <w:sz w:val="20"/>
                <w:szCs w:val="20"/>
              </w:rPr>
              <w:t xml:space="preserve">24, 200, 250</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PT Serif" w:cs="PT Serif" w:eastAsia="PT Serif" w:hAnsi="PT Serif"/>
                <w:b w:val="false"/>
                <w:bCs w:val="false"/>
                <w:sz w:val="20"/>
                <w:szCs w:val="20"/>
              </w:rPr>
              <w:t xml:space="preserve">Князь Владимир Святой / Мономах или город? Проверить контекст каждой страницы.</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PT Serif" w:cs="PT Serif" w:eastAsia="PT Serif" w:hAnsi="PT Serif"/>
                <w:b w:val="false"/>
                <w:bCs w:val="false"/>
                <w:sz w:val="20"/>
                <w:szCs w:val="20"/>
              </w:rPr>
              <w:t xml:space="preserve">Ярослав</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PT Serif" w:cs="PT Serif" w:eastAsia="PT Serif" w:hAnsi="PT Serif"/>
                <w:b w:val="false"/>
                <w:bCs w:val="false"/>
                <w:sz w:val="20"/>
                <w:szCs w:val="20"/>
              </w:rPr>
              <w:t xml:space="preserve">85</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PT Serif" w:cs="PT Serif" w:eastAsia="PT Serif" w:hAnsi="PT Serif"/>
                <w:b w:val="false"/>
                <w:bCs w:val="false"/>
                <w:sz w:val="20"/>
                <w:szCs w:val="20"/>
              </w:rPr>
              <w:t xml:space="preserve">Ярослав Мудрый или часть «Ярославль»? Проверить контекст.</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PT Serif" w:cs="PT Serif" w:eastAsia="PT Serif" w:hAnsi="PT Serif"/>
                <w:b w:val="false"/>
                <w:bCs w:val="false"/>
                <w:sz w:val="20"/>
                <w:szCs w:val="20"/>
              </w:rPr>
              <w:t xml:space="preserve">Блок</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PT Serif" w:cs="PT Serif" w:eastAsia="PT Serif" w:hAnsi="PT Serif"/>
                <w:b w:val="false"/>
                <w:bCs w:val="false"/>
                <w:sz w:val="20"/>
                <w:szCs w:val="20"/>
              </w:rPr>
              <w:t xml:space="preserve">25, 196, 215</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PT Serif" w:cs="PT Serif" w:eastAsia="PT Serif" w:hAnsi="PT Serif"/>
                <w:b w:val="false"/>
                <w:bCs w:val="false"/>
                <w:sz w:val="20"/>
                <w:szCs w:val="20"/>
              </w:rPr>
              <w:t xml:space="preserve">Александр Блок или лингвистический термин («блок», «фразовый блок»)? Скорее всего, термин — тогда вокабула не нужна.</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PT Serif" w:cs="PT Serif" w:eastAsia="PT Serif" w:hAnsi="PT Serif"/>
                <w:b w:val="false"/>
                <w:bCs w:val="false"/>
                <w:sz w:val="20"/>
                <w:szCs w:val="20"/>
              </w:rPr>
              <w:t xml:space="preserve">Константин</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PT Serif" w:cs="PT Serif" w:eastAsia="PT Serif" w:hAnsi="PT Serif"/>
                <w:b w:val="false"/>
                <w:bCs w:val="false"/>
                <w:sz w:val="20"/>
                <w:szCs w:val="20"/>
              </w:rPr>
              <w:t xml:space="preserve">404</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PT Serif" w:cs="PT Serif" w:eastAsia="PT Serif" w:hAnsi="PT Serif"/>
                <w:b w:val="false"/>
                <w:bCs w:val="false"/>
                <w:sz w:val="20"/>
                <w:szCs w:val="20"/>
              </w:rPr>
              <w:t xml:space="preserve">Это К. Головченко (оформитель) на странице выходных данных. Не лингвист — вокабула не нужна.</w:t>
            </w:r>
          </w:p>
        </w:tc>
      </w:tr>
    </w:tbl>
    <w:p>
      <w:pPr>
        <w:spacing w:after="120" w:before="180"/>
      </w:pPr>
      <w:r>
        <w:rPr>
          <w:rFonts w:ascii="PT Serif" w:cs="PT Serif" w:eastAsia="PT Serif" w:hAnsi="PT Serif"/>
          <w:b/>
          <w:bCs/>
          <w:sz w:val="24"/>
          <w:szCs w:val="24"/>
        </w:rPr>
        <w:t xml:space="preserve">4. Сомнительные позиции, требующие решения редколлегии</w:t>
      </w:r>
    </w:p>
    <w:p>
      <w:pPr>
        <w:spacing w:after="120" w:line="280"/>
        <w:jc w:val="both"/>
      </w:pPr>
      <w:r>
        <w:rPr>
          <w:rFonts w:ascii="PT Serif" w:cs="PT Serif" w:eastAsia="PT Serif" w:hAnsi="PT Serif"/>
          <w:b w:val="false"/>
          <w:bCs w:val="false"/>
          <w:i w:val="false"/>
          <w:iCs w:val="false"/>
          <w:sz w:val="20"/>
          <w:szCs w:val="20"/>
        </w:rPr>
        <w:t xml:space="preserve">1. Алексеевская О. А. (стр. 4, 13, 404) и Гасунс М. Ю. (стр. 392). У Крылова обе вокабулы попадают в раздел VI «Именной указатель лингвистов», но фактически это сотрудники издания: О. А. Алексеевская — автор фронтисписа, М. Ю. Гасунс — руководитель проекта и технический редактор. По Мильчину выходные данные книги в указатели не индексируются. Рекомендуется исключить обе. Технически это означает удалить две вокабулы.</w:t>
      </w:r>
    </w:p>
    <w:p>
      <w:pPr>
        <w:spacing w:after="120" w:line="280"/>
        <w:jc w:val="both"/>
      </w:pPr>
      <w:r>
        <w:rPr>
          <w:rFonts w:ascii="PT Serif" w:cs="PT Serif" w:eastAsia="PT Serif" w:hAnsi="PT Serif"/>
          <w:b w:val="false"/>
          <w:bCs w:val="false"/>
          <w:i w:val="false"/>
          <w:iCs w:val="false"/>
          <w:sz w:val="20"/>
          <w:szCs w:val="20"/>
        </w:rPr>
        <w:t xml:space="preserve">2. Гримм В. и Я. (братья) (стр. 73) и Гримм Я. (стр. 73, 74, 89). Две вокабулы об одних и тех же лицах. По Мильчину для парных авторов («братья Гримм») предпочтительна форма «Гримм, Я. и В.» с одной вокабулой. Рекомендуется свести к «Гримм, Я. и В. (братья)» с объединенными страницами 73, 74, 89.</w:t>
      </w:r>
    </w:p>
    <w:p>
      <w:pPr>
        <w:spacing w:after="120" w:line="280"/>
        <w:jc w:val="both"/>
      </w:pPr>
      <w:r>
        <w:rPr>
          <w:rFonts w:ascii="PT Serif" w:cs="PT Serif" w:eastAsia="PT Serif" w:hAnsi="PT Serif"/>
          <w:b w:val="false"/>
          <w:bCs w:val="false"/>
          <w:i w:val="false"/>
          <w:iCs w:val="false"/>
          <w:sz w:val="20"/>
          <w:szCs w:val="20"/>
        </w:rPr>
        <w:t xml:space="preserve">3. Иткин И. Б. (стр. 4, 12, 41, 48, 49, 76, 89, 90, 119, 124, 126–128, 132, 161, 218, 222, 225, 226, 230, 234, 273, 290, 291, 297, 299, 301, 342, 346, 356, 358, 360, 377). Это автор предисловия и постоянный участник лекций (его реплики звучат во время записей). 32 страницы — это второй по объему «оратор» книги после самого Зализняка. Включение оправдано.</w:t>
      </w:r>
    </w:p>
    <w:p>
      <w:pPr>
        <w:spacing w:after="120" w:line="280"/>
        <w:jc w:val="both"/>
      </w:pPr>
      <w:r>
        <w:rPr>
          <w:rFonts w:ascii="PT Serif" w:cs="PT Serif" w:eastAsia="PT Serif" w:hAnsi="PT Serif"/>
          <w:b w:val="false"/>
          <w:bCs w:val="false"/>
          <w:i w:val="false"/>
          <w:iCs w:val="false"/>
          <w:sz w:val="20"/>
          <w:szCs w:val="20"/>
        </w:rPr>
        <w:t xml:space="preserve">4. Иткин А. И. (стр. 290, 339, 340, 343, 347, 349–353, 356–358) — это, по-видимому, школьник, отдельный от И. Б. Иткина. Уточнить идентичность лиц с одинаковой фамилией — это работа редактора.</w:t>
      </w:r>
    </w:p>
    <w:p>
      <w:pPr>
        <w:spacing w:after="120" w:line="280"/>
        <w:jc w:val="both"/>
      </w:pPr>
      <w:r>
        <w:rPr>
          <w:rFonts w:ascii="PT Serif" w:cs="PT Serif" w:eastAsia="PT Serif" w:hAnsi="PT Serif"/>
          <w:b w:val="false"/>
          <w:bCs w:val="false"/>
          <w:i w:val="false"/>
          <w:iCs w:val="false"/>
          <w:sz w:val="20"/>
          <w:szCs w:val="20"/>
        </w:rPr>
        <w:t xml:space="preserve">5. Множество школьников (Кокорева, Лебедев, Лебедева, Луховицкий, Морозова, Носков, Силинг, Феклистова, Холодова, Чернышева, Щеголькова и др.) — это участники лекций в школе «Муми-тролль», не лингвисты. Их включение в раздел «Именной указатель лингвистов» спорно. Возможные решения: (а) оставить как есть, все в одном объединенном указателе имен; (б) добавить помету «(уч-к лекции)» к именам школьников; (в) разнести по двум указателям, как было у Крылова.</w:t>
      </w:r>
    </w:p>
    <w:p>
      <w:pPr>
        <w:spacing w:after="120" w:before="180"/>
      </w:pPr>
      <w:r>
        <w:rPr>
          <w:rFonts w:ascii="PT Serif" w:cs="PT Serif" w:eastAsia="PT Serif" w:hAnsi="PT Serif"/>
          <w:b/>
          <w:bCs/>
          <w:sz w:val="24"/>
          <w:szCs w:val="24"/>
        </w:rPr>
        <w:t xml:space="preserve">5. Соответствие правилам Мильчина</w:t>
      </w:r>
    </w:p>
    <w:p>
      <w:pPr>
        <w:spacing w:after="120" w:line="280"/>
        <w:jc w:val="both"/>
      </w:pPr>
      <w:r>
        <w:rPr>
          <w:rFonts w:ascii="PT Serif" w:cs="PT Serif" w:eastAsia="PT Serif" w:hAnsi="PT Serif"/>
          <w:b w:val="false"/>
          <w:bCs w:val="false"/>
          <w:i w:val="false"/>
          <w:iCs w:val="false"/>
          <w:sz w:val="20"/>
          <w:szCs w:val="20"/>
        </w:rPr>
        <w:t xml:space="preserve">Тип по структуре: глухой одноуровневый. Каждая вокабула — фамилия с инициалами и страницы. Подрубрик нет.</w:t>
      </w:r>
    </w:p>
    <w:p>
      <w:pPr>
        <w:spacing w:after="120" w:line="280"/>
        <w:jc w:val="both"/>
      </w:pPr>
      <w:r>
        <w:rPr>
          <w:rFonts w:ascii="PT Serif" w:cs="PT Serif" w:eastAsia="PT Serif" w:hAnsi="PT Serif"/>
          <w:b w:val="false"/>
          <w:bCs w:val="false"/>
          <w:i w:val="false"/>
          <w:iCs w:val="false"/>
          <w:sz w:val="20"/>
          <w:szCs w:val="20"/>
        </w:rPr>
        <w:t xml:space="preserve">Тип группировки: алфавитный, по русскому алфавиту, по фамилии (имена и инициалы — после фамилии). Иностранные имена даются в русской транскрипции (Вакернагель Я., Вентрис М., Гримм Я.), как принято у Крылова.</w:t>
      </w:r>
    </w:p>
    <w:p>
      <w:pPr>
        <w:spacing w:after="120" w:line="280"/>
        <w:jc w:val="both"/>
      </w:pPr>
      <w:r>
        <w:rPr>
          <w:rFonts w:ascii="PT Serif" w:cs="PT Serif" w:eastAsia="PT Serif" w:hAnsi="PT Serif"/>
          <w:b w:val="false"/>
          <w:bCs w:val="false"/>
          <w:i w:val="false"/>
          <w:iCs w:val="false"/>
          <w:sz w:val="20"/>
          <w:szCs w:val="20"/>
        </w:rPr>
        <w:t xml:space="preserve">Шрифтовая разметка: голова обсуждаемых вокабул — полужирная, прочих — обычная.</w:t>
      </w:r>
    </w:p>
    <w:p>
      <w:pPr>
        <w:spacing w:after="120" w:line="280"/>
        <w:jc w:val="both"/>
      </w:pPr>
      <w:r>
        <w:rPr>
          <w:rFonts w:ascii="PT Serif" w:cs="PT Serif" w:eastAsia="PT Serif" w:hAnsi="PT Serif"/>
          <w:b w:val="false"/>
          <w:bCs w:val="false"/>
          <w:i w:val="false"/>
          <w:iCs w:val="false"/>
          <w:sz w:val="20"/>
          <w:szCs w:val="20"/>
        </w:rPr>
        <w:t xml:space="preserve">Объем: ≈ 1,5–2 страницы на 404 страницы текста = 0,4 %. Это вклад указателя имен в общий объем справочного аппарата (см. сводную таблицу в общей записке к редколлегии).</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T Serif" w:cs="PT Serif" w:eastAsia="PT Serif" w:hAnsi="PT Seri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2026-04-09T15:25:41.521Z</dcterms:created>
  <dcterms:modified xsi:type="dcterms:W3CDTF">2026-04-09T15:25:41.523Z</dcterms:modified>
</cp:coreProperties>
</file>

<file path=docProps/custom.xml><?xml version="1.0" encoding="utf-8"?>
<Properties xmlns="http://schemas.openxmlformats.org/officeDocument/2006/custom-properties" xmlns:vt="http://schemas.openxmlformats.org/officeDocument/2006/docPropsVTypes"/>
</file>