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PT Serif" w:cs="PT Serif" w:eastAsia="PT Serif" w:hAnsi="PT Serif"/>
          <w:b/>
          <w:bCs/>
          <w:sz w:val="28"/>
          <w:szCs w:val="28"/>
        </w:rPr>
        <w:t xml:space="preserve">Аналитическая записка к указателю топонимов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/>
          <w:iCs/>
          <w:sz w:val="20"/>
          <w:szCs w:val="20"/>
        </w:rPr>
        <w:t xml:space="preserve">К проекту: А. А. Зализняк. Из жизни слов и языков. М.: Альпина нон-фикшн, 2026. — 404 с.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/>
          <w:iCs/>
          <w:sz w:val="20"/>
          <w:szCs w:val="20"/>
        </w:rPr>
        <w:t xml:space="preserve">Источник: раздел III «Географический индекс (индекс топонимов)» в материале В. М. Крылова, составленный по вёрстке 384 с. (2025). Применён общий метод пересчёта страниц через карту по якорям, описанный в записке к лексическому указателю.</w:t>
      </w:r>
    </w:p>
    <w:p>
      <w:pPr>
        <w:spacing w:after="120" w:before="180"/>
      </w:pPr>
      <w:r>
        <w:rPr>
          <w:rFonts w:ascii="PT Serif" w:cs="PT Serif" w:eastAsia="PT Serif" w:hAnsi="PT Serif"/>
          <w:b/>
          <w:bCs/>
          <w:sz w:val="24"/>
          <w:szCs w:val="24"/>
        </w:rPr>
        <w:t xml:space="preserve">1. Объём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Всего топонимов после объединения дубликатов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  ▸ обсуждаемых (≥ 2 страниц или с подрубриками)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38 (41 %)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  ▸ однократных упоминаний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55 (59 %)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С подрубриками (по Мильчину — аналитический тип)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Ожидаемый объём в вёрстке (две колонки, 9 пт)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≈ 1 страница</w:t>
            </w:r>
          </w:p>
        </w:tc>
      </w:tr>
    </w:tbl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Доля гапаксов в топонимах (59 %) существенно ниже, чем в лексическом указателе (84 %), что естественно: топонимы в книге чаще упоминаются в составе содержательных рассуждений (о расселении народов, о маршрутах заимствований, о политической географии прошлого), а не как одноразовые иллюстрации.</w:t>
      </w:r>
    </w:p>
    <w:p>
      <w:pPr>
        <w:spacing w:after="120" w:before="180"/>
      </w:pPr>
      <w:r>
        <w:rPr>
          <w:rFonts w:ascii="PT Serif" w:cs="PT Serif" w:eastAsia="PT Serif" w:hAnsi="PT Serif"/>
          <w:b/>
          <w:bCs/>
          <w:sz w:val="24"/>
          <w:szCs w:val="24"/>
        </w:rPr>
        <w:t xml:space="preserve">2. Что сделано при переработке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Пересчитаны все страницы по карте соответствия 384 с. → 404 с. с учётом перестановки лекций «Из русского ударения» и «Из рассказов о берестяных грамотах».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Объединены дубликаты: у Крылова в исходнике «Малая Азия» и «Средняя Азия» появлялись дважды — отдельной вокабулой и в составе строки «Азия Малая ~ языки». Сведено в одну вокабулу с подрубрикой.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Нормализована инверсия: крыловские формы «Азия Малая», «Африка Центральная», «Италия Верхняя» приведены к естественному порядку слов («Малая Азия», «Центральная Африка», «Верхняя Италия»). Инверсия с запятой по Мильчину применяется только к словосочетаниям с именем собственным в роли определения («Вакернагеля закон»), а не к составным топонимам.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Подрубрики Крылова (формат «~ территория», «~ языки» и т.п., где ~ заменяет голову) оформлены строго по Мильчину: с тильдой через точку с запятой, без переноса на новую строку (для глухой структуры).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Исправлена опечатка Крылова: «cевер [Руси]» с латинской c → «север [Руси]».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Полужирным выделены 38 топонимов, обсуждаемых в книге содержательно (≥ 2 страниц или с подрубриками); обычным шрифтом — 55 однократных упоминаний.</w:t>
      </w:r>
    </w:p>
    <w:p>
      <w:pPr>
        <w:spacing w:after="120" w:before="180"/>
      </w:pPr>
      <w:r>
        <w:rPr>
          <w:rFonts w:ascii="PT Serif" w:cs="PT Serif" w:eastAsia="PT Serif" w:hAnsi="PT Serif"/>
          <w:b/>
          <w:bCs/>
          <w:sz w:val="24"/>
          <w:szCs w:val="24"/>
        </w:rPr>
        <w:t xml:space="preserve">3. Полнота: проверка на пропуски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Проверена полнота охвата: автоматический скан всех имён собственных с прописной буквы в новом тексте книги, сверка с уже включёнными в указатель Крылова. Обнаружено 4 топонима, упоминаемых в книге, но отсутствующих в географическом указателе: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Топоним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Контекст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Алжир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221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в составе арабской лекции (есть в лексическом указателе)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Москва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в исторической части, реальное упоминание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Париж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248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в лекции «Из русского ударения»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Судан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222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в составе арабской лекции</w:t>
            </w:r>
          </w:p>
        </w:tc>
      </w:tr>
    </w:tbl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Рекомендация: добавить эти 4 вокабулы в указатель. Они однократные, разметку получат обычным шрифтом. Решение о включении/исключении за редколлегией.</w:t>
      </w:r>
    </w:p>
    <w:p>
      <w:pPr>
        <w:spacing w:after="120" w:before="180"/>
      </w:pPr>
      <w:r>
        <w:rPr>
          <w:rFonts w:ascii="PT Serif" w:cs="PT Serif" w:eastAsia="PT Serif" w:hAnsi="PT Serif"/>
          <w:b/>
          <w:bCs/>
          <w:sz w:val="24"/>
          <w:szCs w:val="24"/>
        </w:rPr>
        <w:t xml:space="preserve">4. Сомнительные позиции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«Бавария 60». У Крылова было «Бавария 58». Слово в новом тексте автоматическим поиском не находится; страница проставлена расчётно по карте. Возможно, в новой вёрстке упоминание перефразировано или удалено. Просьба к редактору проверить место в книге.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«Великое княжество Литовское». У Крылова это две разные вокабулы — «Литва» (с подрубриками) и «Литовское княжество Великое». По Мильчину для имени собственного с прилагательным следует выбирать одну форму подачи. Рекомендуется свести к «Великое княжество Литовское» (как принято в исторической литературе) с отсылкой «Литва, см. также…».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Синонимические пары: «Бхарат / Индия», «Шри-Ланка / Цейлон», «Варанаси / Бенарес», «Синдху / Инд». Сейчас они разнесены по отдельным вокабулам — это правильно, так как обсуждается само существование двух названий. По Мильчину каждая пара должна получить кросс-ссылку «см. также». Это редакторская работа на 5 минут: добавить шесть пометок.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«киевско-черниговская зона», «ростово-суздальская земля», «псковская зона» — это не топонимы в строгом смысле, а лингвогеографические термины. По Мильчину их место либо в Предметном указателе, либо в специальном «Указателе этно-лингвистических обозначений». Решение за редколлегией.</w:t>
      </w:r>
    </w:p>
    <w:p>
      <w:pPr>
        <w:spacing w:after="120" w:before="180"/>
      </w:pPr>
      <w:r>
        <w:rPr>
          <w:rFonts w:ascii="PT Serif" w:cs="PT Serif" w:eastAsia="PT Serif" w:hAnsi="PT Serif"/>
          <w:b/>
          <w:bCs/>
          <w:sz w:val="24"/>
          <w:szCs w:val="24"/>
        </w:rPr>
        <w:t xml:space="preserve">5. Соответствие правилам Мильчина (краткая сверка)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Тип по структуре: смешанный — глухой для большинства вокабул, аналитический (с подрубриками) для 10 «крупных» топонимов (Европа, Индия, Россия, Италия, Франция, Украина, арабские страны и др.). Это соответствует мильчинскому принципу «структура указателя должна следовать из материала, а не навязываться ему».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Тип группировки: алфавитный, по русскому алфавиту, без выделения латинских вкраплений (латиницы в топонимах нет).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Шрифтовая разметка: вокабулы-обсуждения — полужирным шрифтом, упоминания — обычным; диапазоны страниц — полукруглым тире (–); подрубрики — через точку с запятой и тильду (~). Курсив зарезервирован для случаев «синтаксической деривации» по Мильчину (в нашем материале не встречается).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Объём относительно книги: ≈ 1 страница на 404 страницы текста = 0,25 %. Это вклад указателя топонимов в общий объём справочного аппарата (см. сводную таблицу в записке к лексическому указателю и в общей записке к редколлегии).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2026-04-09T11:21:18.101Z</dcterms:created>
  <dcterms:modified xsi:type="dcterms:W3CDTF">2026-04-09T11:21:18.102Z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