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MMag. theol. Э. З. Лейтан, BA, MA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СЛОЖНЫЕ СЛОВА В САНСКРИТЕ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Приложение к конспекту: §§ 2.bis, 10, 11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Трёхъязычные параллели · Длинные самасы · 56-тег система · Статистика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На основе: Ruppel (2017); Зализняк; Kulkarni &amp; Kumar (2013); Krishna et al. (2016); MW-статистика (funderburkjim)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E4057" w:sz="6" w:space="4"/>
        </w:pBdr>
        <w:spacing w:before="400" w:after="160"/>
      </w:pPr>
      <w:r>
        <w:rPr>
          <w:rFonts w:ascii="Arial" w:cs="Arial" w:eastAsia="Arial" w:hAnsi="Arial"/>
          <w:b/>
          <w:bCs/>
          <w:caps/>
          <w:color w:val="1A1A2E"/>
          <w:sz w:val="30"/>
          <w:szCs w:val="30"/>
        </w:rPr>
        <w:t xml:space="preserve">Трёхъязычная таблица параллелей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По: Зализняк §§ 192–194; Ruppel (2017), pp. 138–142; Лейтан §§ 4–7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left w:val="single" w:color="2E4057" w:sz="8" w:space="6"/>
        </w:pBdr>
        <w:shd w:fill="F5F0E6" w:val="clear"/>
        <w:spacing w:before="80" w:after="80"/>
        <w:ind w:left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МЕТОДИЧЕСКОЕ ПРИМЕЧАНИЕ: </w:t>
      </w:r>
      <w:r>
        <w:rPr>
          <w:rFonts w:ascii="Arial" w:cs="Arial" w:eastAsia="Arial" w:hAnsi="Arial"/>
          <w:sz w:val="21"/>
          <w:szCs w:val="21"/>
        </w:rPr>
        <w:t xml:space="preserve">Санскритские самасы, как правило, более продуктивны и не фразеологизированы по сравнению с русскими и английскими аналогами (Ruppel, p. 137). Аналогии — педагогический инструмент, а не точные соответствия.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3610"/>
        <w:gridCol w:w="3429"/>
      </w:tblGrid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 самасы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Русский аналог (Зализняк)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Английский аналог (Ruppel)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tatpuruṣa (ṣaṣṭhī-gen.)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маслозавод, царедворец, скороход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treehouse, cookbook, swordsmith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tatpuruṣa (dvitīyā-acc.)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громоподобный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sightseeing, horsedrawn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tatpuruṣa (caturthī-dat.)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(здание) для обучения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cookbook (alt.)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karmadhāraya (прилаг.+сущ.)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белоэмигрант, темно-серый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blackbird, whiteboard, blueberry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karmadhāraya (аппозиция)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царь-пушка, диван-кровать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city-state, player-manager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karmadhāraya (сравнение iva)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медово-жёлтый, снежно-белый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ruby-red, crystal-clear, sky-blue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karmadhāraya (метафора eva)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(Лейтан: rūpaka)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(нет прямого аналога)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bahuvrīhi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длиннорукий, одноногий, безродный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barefoot, brown-eyed, long-haired (-ed!)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dvandva (itaretara)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хлеб-соль, купля-продажа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bitter-sweet, singer-songwriter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dvandva (samāhāra)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(нет прямого аналога)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(нет прямого аналога)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avyayībhāva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невдалеке, вблизи (нет точного)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(нет прямого аналога)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nañ-samāsa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безродный, бездомный, недруг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unworthy, inaction, mouthless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dvigu (числит.)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семиглавый, двурогий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three-day (adj.), six-pack (noun)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Важное наблюдение Ruppel (p. 140): </w:t>
      </w:r>
      <w:r>
        <w:rPr>
          <w:rFonts w:ascii="Arial" w:cs="Arial" w:eastAsia="Arial" w:hAnsi="Arial"/>
          <w:sz w:val="21"/>
          <w:szCs w:val="21"/>
        </w:rPr>
        <w:t xml:space="preserve">в английском языке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bahuvrīhi</w:t>
      </w:r>
      <w:r>
        <w:rPr>
          <w:rFonts w:ascii="Arial" w:cs="Arial" w:eastAsia="Arial" w:hAnsi="Arial"/>
          <w:sz w:val="21"/>
          <w:szCs w:val="21"/>
        </w:rPr>
        <w:t xml:space="preserve"> часто маркируется суффиксом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-ed</w:t>
      </w:r>
      <w:r>
        <w:rPr>
          <w:rFonts w:ascii="Arial" w:cs="Arial" w:eastAsia="Arial" w:hAnsi="Arial"/>
          <w:sz w:val="21"/>
          <w:szCs w:val="21"/>
        </w:rPr>
        <w:t xml:space="preserve"> (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brown-eyed, long-haired</w:t>
      </w:r>
      <w:r>
        <w:rPr>
          <w:rFonts w:ascii="Arial" w:cs="Arial" w:eastAsia="Arial" w:hAnsi="Arial"/>
          <w:sz w:val="21"/>
          <w:szCs w:val="21"/>
        </w:rPr>
        <w:t xml:space="preserve">), в санскрите такого маркера нет — тип определяется только через контекст и грамматический род итогового слова.</w:t>
      </w:r>
    </w:p>
    <w:p>
      <w:pPr>
        <w:pStyle w:val="Heading1"/>
        <w:pBdr>
          <w:bottom w:val="single" w:color="2E4057" w:sz="6" w:space="4"/>
        </w:pBdr>
        <w:spacing w:before="400" w:after="160"/>
      </w:pPr>
      <w:r>
        <w:rPr>
          <w:rFonts w:ascii="Arial" w:cs="Arial" w:eastAsia="Arial" w:hAnsi="Arial"/>
          <w:b/>
          <w:bCs/>
          <w:caps/>
          <w:color w:val="1A1A2E"/>
          <w:sz w:val="30"/>
          <w:szCs w:val="30"/>
        </w:rPr>
        <w:t xml:space="preserve">§ 10. Анализ длинных композитов — бинарные деревья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По: Ruppel (2017), pp. 143–144; Лейтан §§ 4–9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left w:val="single" w:color="2E4057" w:sz="8" w:space="6"/>
        </w:pBdr>
        <w:shd w:fill="F5F0E6" w:val="clear"/>
        <w:spacing w:before="80" w:after="80"/>
        <w:ind w:left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ПРИНЦИП: </w:t>
      </w:r>
      <w:r>
        <w:rPr>
          <w:rFonts w:ascii="Arial" w:cs="Arial" w:eastAsia="Arial" w:hAnsi="Arial"/>
          <w:sz w:val="21"/>
          <w:szCs w:val="21"/>
        </w:rPr>
        <w:t xml:space="preserve">любая многочленная самаса (3, 4 и более компонентов) разбирается рекурсивно — попарно, изнутри наружу. Внутренний композит анализируется первым, внешний — вторым. По данным MW-словаря: 84% самас двучленны, 14.1% — трёхчленны, 1.6% — четырёхчленны (из 217 290 самас).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Правила разбора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1. Разбить самасу на два непосредственных компонента (бинарное дерево).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2. Определить тип внутреннего (более глубокого) композита.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3. Определить тип внешнего (поверхностного) композита.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4. Записать в виде скобочной нотации: [A-[B-C]] или [[A-B]-C]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Примеры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/>
          <w:iCs/>
          <w:color w:val="3E5C76"/>
          <w:sz w:val="22"/>
          <w:szCs w:val="22"/>
        </w:rPr>
        <w:t xml:space="preserve">10.1. Двухуровневая самаса: [tatpuruṣa внутри bahuvrīhi]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Пример из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Bhagavad-Gītā</w:t>
      </w:r>
      <w:r>
        <w:rPr>
          <w:rFonts w:ascii="Arial" w:cs="Arial" w:eastAsia="Arial" w:hAnsi="Arial"/>
          <w:sz w:val="21"/>
          <w:szCs w:val="21"/>
        </w:rPr>
        <w:t xml:space="preserve"> (Ruppel, p. 143):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Исходный текст: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uṣṭra-kula-dharmāḥ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Компоненты: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uṣṭra-</w:t>
      </w:r>
      <w:r>
        <w:rPr>
          <w:rFonts w:ascii="Arial" w:cs="Arial" w:eastAsia="Arial" w:hAnsi="Arial"/>
          <w:sz w:val="21"/>
          <w:szCs w:val="21"/>
        </w:rPr>
        <w:t xml:space="preserve"> (верблюд) +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kula-</w:t>
      </w:r>
      <w:r>
        <w:rPr>
          <w:rFonts w:ascii="Arial" w:cs="Arial" w:eastAsia="Arial" w:hAnsi="Arial"/>
          <w:sz w:val="21"/>
          <w:szCs w:val="21"/>
        </w:rPr>
        <w:t xml:space="preserve"> (род) +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dharma-</w:t>
      </w:r>
      <w:r>
        <w:rPr>
          <w:rFonts w:ascii="Arial" w:cs="Arial" w:eastAsia="Arial" w:hAnsi="Arial"/>
          <w:sz w:val="21"/>
          <w:szCs w:val="21"/>
        </w:rPr>
        <w:t xml:space="preserve"> (закон)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Скобочная нотация:</w:t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[ uṣṭra- [ kula-dharma- ] ]āḥ</w:t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3a6b3a"/>
          <w:sz w:val="19"/>
          <w:szCs w:val="19"/>
        </w:rPr>
        <w:t xml:space="preserve">         └────────────┘</w:t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3a6b3a"/>
          <w:sz w:val="19"/>
          <w:szCs w:val="19"/>
        </w:rPr>
        <w:t xml:space="preserve">         karmadhāraya: «законы рода»</w:t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6b3a6b"/>
          <w:sz w:val="19"/>
          <w:szCs w:val="19"/>
        </w:rPr>
        <w:t xml:space="preserve">└─────────────────────┘</w:t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6b3a6b"/>
          <w:sz w:val="19"/>
          <w:szCs w:val="19"/>
        </w:rPr>
        <w:t xml:space="preserve">bahuvrīhi: «чьи законы рода — верблюжьи»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Перевод: «[те,] чьи законы рода уничтожены [такие вот "верблюжьи верблюдские" законы]»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/>
          <w:iCs/>
          <w:color w:val="3E5C76"/>
          <w:sz w:val="22"/>
          <w:szCs w:val="22"/>
        </w:rPr>
        <w:t xml:space="preserve">10.2. Двухуровневая самаса: [karmadhāraya внутри tatpuruṣa]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Пример из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Bhagavad-Gītā</w:t>
      </w:r>
      <w:r>
        <w:rPr>
          <w:rFonts w:ascii="Arial" w:cs="Arial" w:eastAsia="Arial" w:hAnsi="Arial"/>
          <w:sz w:val="21"/>
          <w:szCs w:val="21"/>
        </w:rPr>
        <w:t xml:space="preserve"> (Ruppel, p. 143):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Исходный текст: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rājya-sukha-lobhaḥ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[ [ rājya-sukha- ] lobha- ]ḥ</w:t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3a6b3a"/>
          <w:sz w:val="19"/>
          <w:szCs w:val="19"/>
        </w:rPr>
        <w:t xml:space="preserve">  └───────────┘</w:t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3a6b3a"/>
          <w:sz w:val="19"/>
          <w:szCs w:val="19"/>
        </w:rPr>
        <w:t xml:space="preserve">  karmadhāraya: «царское счастье»</w:t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1a4a6e"/>
          <w:sz w:val="19"/>
          <w:szCs w:val="19"/>
        </w:rPr>
        <w:t xml:space="preserve">└───────────────────┘</w:t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1a4a6e"/>
          <w:sz w:val="19"/>
          <w:szCs w:val="19"/>
        </w:rPr>
        <w:t xml:space="preserve">tatpuruṣa (gen./dat.): «жажда [царского счастья]»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/>
          <w:iCs/>
          <w:color w:val="3E5C76"/>
          <w:sz w:val="22"/>
          <w:szCs w:val="22"/>
        </w:rPr>
        <w:t xml:space="preserve">10.3. Трёхуровневая самаса: [tatpuruṣa → karmadhāraya → tatpuruṣa]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Пример из Калидасы (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Abhijñānaśakuntalā</w:t>
      </w:r>
      <w:r>
        <w:rPr>
          <w:rFonts w:ascii="Arial" w:cs="Arial" w:eastAsia="Arial" w:hAnsi="Arial"/>
          <w:sz w:val="21"/>
          <w:szCs w:val="21"/>
        </w:rPr>
        <w:t xml:space="preserve">; Ruppel, p. 143):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Исходный текст: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śrama-vitata-mukha-śaṃśī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2E4057"/>
          <w:sz w:val="19"/>
          <w:szCs w:val="19"/>
        </w:rPr>
        <w:t xml:space="preserve">[ [ [ śrama-vitata ] -mukha- ] śaṃśī ]</w:t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1a4a6e"/>
          <w:sz w:val="19"/>
          <w:szCs w:val="19"/>
        </w:rPr>
        <w:t xml:space="preserve">    └──────────┘</w:t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1a4a6e"/>
          <w:sz w:val="19"/>
          <w:szCs w:val="19"/>
        </w:rPr>
        <w:t xml:space="preserve">    tatpuruṣa: «[открытый] от усталости»</w:t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3a6b3a"/>
          <w:sz w:val="19"/>
          <w:szCs w:val="19"/>
        </w:rPr>
        <w:t xml:space="preserve">  └───────────────┘</w:t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3a6b3a"/>
          <w:sz w:val="19"/>
          <w:szCs w:val="19"/>
        </w:rPr>
        <w:t xml:space="preserve">  karmadhāraya: «рот, [открытый] от усталости»</w:t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8b5a1a"/>
          <w:sz w:val="19"/>
          <w:szCs w:val="19"/>
        </w:rPr>
        <w:t xml:space="preserve">└─────────────────────┘</w:t>
      </w:r>
    </w:p>
    <w:p>
      <w:pPr>
        <w:spacing w:after="80"/>
        <w:ind w:left="240"/>
      </w:pPr>
      <w:r>
        <w:rPr>
          <w:rFonts w:ascii="Courier New" w:cs="Courier New" w:eastAsia="Courier New" w:hAnsi="Courier New"/>
          <w:color w:val="8b5a1a"/>
          <w:sz w:val="19"/>
          <w:szCs w:val="19"/>
        </w:rPr>
        <w:t xml:space="preserve">tatpuruṣa: «падающий из [рта, открытого от усталости]»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/>
          <w:iCs/>
          <w:color w:val="3E5C76"/>
          <w:sz w:val="22"/>
          <w:szCs w:val="22"/>
        </w:rPr>
        <w:t xml:space="preserve">10.4. Многочленная двандва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Пример из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Āryāsaptaśatī</w:t>
      </w:r>
      <w:r>
        <w:rPr>
          <w:rFonts w:ascii="Arial" w:cs="Arial" w:eastAsia="Arial" w:hAnsi="Arial"/>
          <w:sz w:val="21"/>
          <w:szCs w:val="21"/>
        </w:rPr>
        <w:t xml:space="preserve"> (Ruppel, p. 143):</w:t>
      </w:r>
    </w:p>
    <w:p>
      <w:pPr>
        <w:spacing w:after="80"/>
        <w:ind w:left="240"/>
      </w:pPr>
      <w:r>
        <w:rPr>
          <w:rFonts w:ascii="Arial" w:cs="Arial" w:eastAsia="Arial" w:hAnsi="Arial"/>
          <w:sz w:val="21"/>
          <w:szCs w:val="21"/>
        </w:rPr>
        <w:t xml:space="preserve">Исходный текст: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utthāna-upaniveśana-śayana-parāvṛtti-valana-calanesv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Перевод: «в вставаниях, присаживаниях, укладываниях, поворотах, разворотах и хождениях»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Тип: многочленная itaretara-dvandva (6 компонентов) → форма локатива мн. числа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Практическое правило Ruppel</w:t>
      </w:r>
    </w:p>
    <w:p>
      <w:pPr>
        <w:pBdr>
          <w:left w:val="single" w:color="2E4057" w:sz="8" w:space="6"/>
        </w:pBdr>
        <w:shd w:fill="F5F0E6" w:val="clear"/>
        <w:spacing w:before="80" w:after="80"/>
        <w:ind w:left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«В более длинных композитах, как и в коротких, неоднозначность нередка (и может быть намеренной), и мы опираемся на контекст или анализ древних текстовых комментаторов для понимания смысла самасы в конкретном случае»</w:t>
      </w:r>
      <w:r>
        <w:rPr>
          <w:rFonts w:ascii="Arial" w:cs="Arial" w:eastAsia="Arial" w:hAnsi="Arial"/>
          <w:sz w:val="21"/>
          <w:szCs w:val="21"/>
        </w:rPr>
        <w:t xml:space="preserve"> (Ruppel, p. 143).</w:t>
      </w:r>
    </w:p>
    <w:p>
      <w:pPr>
        <w:pStyle w:val="Heading1"/>
        <w:pBdr>
          <w:bottom w:val="single" w:color="2E4057" w:sz="6" w:space="4"/>
        </w:pBdr>
        <w:spacing w:before="400" w:after="160"/>
      </w:pPr>
      <w:r>
        <w:rPr>
          <w:rFonts w:ascii="Arial" w:cs="Arial" w:eastAsia="Arial" w:hAnsi="Arial"/>
          <w:b/>
          <w:bCs/>
          <w:caps/>
          <w:color w:val="1A1A2E"/>
          <w:sz w:val="30"/>
          <w:szCs w:val="30"/>
        </w:rPr>
        <w:t xml:space="preserve">§ 11. Западная терминология и 56-тег система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§ 11.1. Сводная таблица западных терминов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061"/>
        <w:gridCol w:w="2978"/>
      </w:tblGrid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Санскр. термин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Западный термин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Буквальный смысл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dependent determinative (зависимый детерминатив)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«Его-человек, его слуга»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karmadhāraya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descriptive determinative (дескриптивный)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Значение неясно — только тех. термин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bahuvrīhi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possessive / exocentric (посессивный)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«Имеющий много риса» → «богатый»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dvandva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coordinative / copulative (координативный)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«Пара, два-два» (dvam + dvam)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avyayībhāva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indeclinable compound (несклоняемый)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«Состояние неизменяемого слова»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aluk-samāsa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preserved-case compound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«Самаса без luk (элизии)»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dvigu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(numeral karmadhāraya)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«Две коровы» → стоимость/количество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upapada-tatpuruṣa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(upapada compound)</w:t>
            </w:r>
          </w:p>
        </w:tc>
        <w:tc>
          <w:tcPr>
            <w:tcW w:type="dxa" w:w="34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«С дополнительным словом»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§ 11.2. Полная 56-тег система Sanskrit Consortium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Источник: Ramakrishnamacharyulu et al. (2012), Guidelines for Tagging of Sanskrit Compounds; реализована в Sanskrit Consortium. Приведена по: Kulkarni &amp; Anil Kumar (2013), Appendix A.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7672"/>
      </w:tblGrid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Тег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Подтип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A1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avyayībhāva (avyaya-pūrvapada)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A2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avyayībhāva (avyaya-uttarapada)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A3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tiṣṭhadguprabhriti-avyayībhāva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A4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saṃkhyāpūrvapada-nadyuttarapada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A5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nadyuttarapada-anyapadārthasaṃjñāyām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A6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saṃkhyāpūrvapada-vaṃśyottarapada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A7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pāre-madhye-sāmpratika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T1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prathamā-tatpuruṣa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T2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dvitīyā-tatpuruṣa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T3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tṛtīyā-tatpuruṣa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T4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caturthī-tatpuruṣa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T5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pañcamī-tatpuruṣa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T6 ★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ṣaṣṭhī-tatpuruṣa [40.56% корпуса!]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T7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saptamī-tatpuruṣa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Tn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nañ-tatpuruṣa [F=99.3%]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Tp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prādi-tatpuruṣa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Tk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ku-tatpuruṣa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Tg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gati-tatpuruṣa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Td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taddhitārtha-dvigu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Tdu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uttarapada-dvigu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Tds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samāhāra-dvigu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U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upapada-tatpuruṣa [4.32% корпуса]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U2–U7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upapada с dvitīyā / tṛtīyā / caturthī / pañcamī / saptamī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Tm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mayūravyaṃsakādi-tatpuruṣa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bahupada-tatpuruṣa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K1 ★★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viśeṣaṇa-pūrvapada-karmadhāraya [12.29% корпуса]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K2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viśeṣaṇa-uttarapada-karmadhāraya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K3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viśeṣaṇa-ubhayapada-karmadhāraya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K4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upamāna-pūrvapada-karmadhāraya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K5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upamāna-uttarapada-karmadhāraya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K6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avadhāraṇāpūrvapada-karmadhāraya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K7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sambhāvanāpūrvapada-karmadhāraya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Km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madhyamapadalopi-karmadhāraya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Bs2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dvitīyārtha-bahuvrīhi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Bs3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tṛtīyārtha-bahuvrīhi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Bs4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caturthyartha-bahuvrīhi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Bs5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pañcamyartha-bahuvrīhi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Bs6 ★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ṣaṣṭhyartha-bahuvrīhi [6.39% корпуса]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Bs7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saptamyartha-bahuvrīhi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Bsd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digvācaka-bahuvrīhi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Bss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saṃkhyobhayapada-bahuvrīhi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Bsu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upamānapūrvapada (samānādhikaraṇa)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Bsp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praharaṇaviṣayaka-bahuvrīhi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Bsg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grahaṇaviṣayaka-bahuvrīhi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Bvs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saṃkhyottarapada-vyadhikaraṇa-bv.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BvS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saha-pūrvapada-vyadhikaraṇa-bv.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Bvp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prādi-vyadhikaraṇa-bahuvrīhi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BvU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upamānapūrvapada-vyadhikaraṇa-bv.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Bsmn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nañ-bahuvrīhi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Bb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bahupada-bahuvrīhi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Di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itaretara-dvandva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samāhāra-dvandva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E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ekaśeṣa (один в остатке)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dvirukti (редупликация)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kevala-samāsa («просто композит», §8)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left w:val="single" w:color="2E4057" w:sz="8" w:space="6"/>
        </w:pBdr>
        <w:shd w:fill="F5F0E6" w:val="clear"/>
        <w:spacing w:before="80" w:after="80"/>
        <w:ind w:left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Соответствие §§ конспекта: </w:t>
      </w:r>
      <w:r>
        <w:rPr>
          <w:rFonts w:ascii="Arial" w:cs="Arial" w:eastAsia="Arial" w:hAnsi="Arial"/>
          <w:sz w:val="21"/>
          <w:szCs w:val="21"/>
        </w:rPr>
        <w:t xml:space="preserve">T1–T7 = §§4.1.1–4.1.7; Tn = §4.1.8; K1–K7, Km = §§4.2.1–4.2.3; Bs2–Bs7, Bsd, Bvs, BvS, BvU, Bsmn = §§5.1.1–5.2.2; Di, Ds = §§6.1–6.2; A1–A7 = §§7.1–7.11; S = §8.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6" w:space="4"/>
      </w:pBdr>
      <w:spacing w:before="400" w:after="160"/>
      <w:outlineLvl w:val="0"/>
    </w:pPr>
    <w:rPr>
      <w:rFonts w:ascii="Arial" w:cs="Arial" w:eastAsia="Arial" w:hAnsi="Arial"/>
      <w:b/>
      <w:bCs/>
      <w:cap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i/>
      <w:iCs/>
      <w:color w:val="3E5C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2026-03-27T10:36:36.939Z</dcterms:created>
  <dcterms:modified xsi:type="dcterms:W3CDTF">2026-03-27T10:36:36.939Z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