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MMag. theol. Э. З. Лейтан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СЛОЖНЫЕ СЛОВА В САНСКРИТЕ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Samāsa — справочно-методическое приложение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Чеклисты · Таблицы · Деревья решений · Тренажёры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aps/>
          <w:color w:val="1A1A2E"/>
          <w:sz w:val="32"/>
          <w:szCs w:val="32"/>
        </w:rPr>
        <w:t xml:space="preserve">A. ЧЕКЛИСТЫ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2E4057"/>
          <w:sz w:val="26"/>
          <w:szCs w:val="26"/>
        </w:rPr>
        <w:t xml:space="preserve">Чеклист А: быстрая диагностика — 5 вопросов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Применение: </w:t>
      </w:r>
      <w:r>
        <w:rPr>
          <w:rFonts w:ascii="Arial" w:cs="Arial" w:eastAsia="Arial" w:hAnsi="Arial"/>
          <w:sz w:val="21"/>
          <w:szCs w:val="21"/>
        </w:rPr>
        <w:t xml:space="preserve">дан незнакомый композит → за 5 шагов определить основной класс.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Первый компонент — неизменяемое слово (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avyaya</w:t>
      </w:r>
      <w:r>
        <w:rPr>
          <w:rFonts w:ascii="Arial" w:cs="Arial" w:eastAsia="Arial" w:hAnsi="Arial"/>
          <w:sz w:val="21"/>
          <w:szCs w:val="21"/>
        </w:rPr>
        <w:t xml:space="preserve">)?</w:t>
      </w:r>
    </w:p>
    <w:p>
      <w:pPr>
        <w:spacing w:after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   →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upa-, adhi-, anu-, yathā-, prati-, su-, dur-, nir-, iti-, ā-, ati- и под.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ДА → вероятно AVYAYĪBHĀVA. Проверить: итог = acc.sg.nt., функция — наречие.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b3f20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НЕТ → перейти к п. 2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Обе части равноправны: виграха = «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X ca Y ca</w:t>
      </w:r>
      <w:r>
        <w:rPr>
          <w:rFonts w:ascii="Arial" w:cs="Arial" w:eastAsia="Arial" w:hAnsi="Arial"/>
          <w:sz w:val="21"/>
          <w:szCs w:val="21"/>
        </w:rPr>
        <w:t xml:space="preserve">»?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ДА → DVANDVA. Итог в du. (2 элемента) или pl./sg.nt. (3+ или совокупность).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b3f20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НЕТ → перейти к п. 3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Весь композит ведёт себя как прилагательное (род ≠ роду правого компонента)?</w:t>
      </w:r>
    </w:p>
    <w:p>
      <w:pPr>
        <w:spacing w:after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   →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Ключевой критерий Ruppel: mukha- (ср. р.), но aśvamukhāḥ narāḥ (м. р.) → bahuvrīhi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ДА → BAHUVRĪHI. Виграха с yat-: «Y yasya/yasyāḥ saḥ/sā».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b3f20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НЕТ → перейти к п. 4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При виграхе обе части в одном падеже (номинатив)?</w:t>
      </w:r>
    </w:p>
    <w:p>
      <w:pPr>
        <w:spacing w:after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     →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Виграха: «X ca asau Y ca» — это samānādhikaraṇa-tatpuruṣa = karmadhāraya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ДА → KARMADHĀRAYA (подтип tatpuruṣa). Перейти к Чеклисту В.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b3f20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НЕТ → перейти к п. 5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Левая часть принимает косвенный падеж при виграхе?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ДА → TATPURUṢA (vibhakti). Перейти к Чеклисту Б для определения подтипа.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7b3f20"/>
          <w:sz w:val="21"/>
          <w:szCs w:val="21"/>
        </w:rPr>
        <w:t xml:space="preserve">   → </w:t>
      </w:r>
      <w:r>
        <w:rPr>
          <w:rFonts w:ascii="Arial" w:cs="Arial" w:eastAsia="Arial" w:hAnsi="Arial"/>
          <w:sz w:val="21"/>
          <w:szCs w:val="21"/>
        </w:rPr>
        <w:t xml:space="preserve">НЕТ → особый тип: nañ- / upapada- / aluk- / kevala-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1a4a6e"/>
          <w:sz w:val="26"/>
          <w:szCs w:val="26"/>
        </w:rPr>
        <w:t xml:space="preserve">Чеклист Б: подтипы tatpuruṣa — какой падеж?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ВАЖНО: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ṣaṣṭhī-tatpuruṣa</w:t>
      </w:r>
      <w:r>
        <w:rPr>
          <w:rFonts w:ascii="Arial" w:cs="Arial" w:eastAsia="Arial" w:hAnsi="Arial"/>
          <w:sz w:val="21"/>
          <w:szCs w:val="21"/>
        </w:rPr>
        <w:t xml:space="preserve"> = 40.56% всего корпуса Sanskrit Consortium — НАИБОЛЕЕ ЧАСТЫЙ ПОДТИП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361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Падеж левой части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Подтип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Типичные слова правой части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Номинатив / партитив.ген.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prathamā-tatpuruṣa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pūrva-, adhara-, apara-; ОЧЕНЬ РЕДКО (ekedeśin)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Аккузатив (-am/-e)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dvitīyā-tatpuruṣa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ktānta (p.p.p.): gata-, atīta-, śrita-, sthita-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Инструменталис (-ena/-bhiḥ)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tṛtīyā-tatpuruṣa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arthaḥ, kalahaḥ (средство/причина)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Датив (-āya/-bhyaḥ)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caturthī-tatpuruṣa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artha, bali, hita, sukha, rakṣita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Аблатив (-āt/-bhyaḥ)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pañcamī-tatpuruṣa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bhaya, bhīti, mukta, cyuta, patita, apeta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Генетив (-asya/-āṇām) ★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ṣaṣṭhī-tatpuruṣa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0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(любой) — САМЫЙ ЧАСТЫЙ (40.56%)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Локатив (-e/-ṣu)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saptamī-tatpuruṣa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śauṇḍa, kuśala, nipuṇa, paṇḍita, siddha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Отрицание a-/an-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nañ-tatpuruṣa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(любой) — виграха: «na Y»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Превербы prādi/gati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prādi- / gati-tatpuruṣa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pra-, sam-, vi-, ā-, ni- и др.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kṛdanta как правая часть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upapada-tatpuruṣa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Пан. 2.2.19: kṛd-suffix как uttarapada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Падежное оконч. сохраняется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aluk-samāsa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Пан. 6.3.1: локатив/инстр. виден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3a6b3a"/>
          <w:sz w:val="26"/>
          <w:szCs w:val="26"/>
        </w:rPr>
        <w:t xml:space="preserve">Чеклист В: подтипы karmadhāraya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361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Подтип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Формула виграхи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viśeṣaṇapūrvapada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X ca asau Y ca (прилаг.+сущ.)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meghaśyāmaḥ: megha iva śyāmaḥ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viśeṣyapūrvapada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порицание (kutsitāni kutsanaiḥ)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vaiyākaraṇa-khasūciḥ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viśeṣaṇobhayapada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оба — прилагательные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śītoṣṇam: śītam ca tad uṣṇam ca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upamānapūrvapada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X iva Y (сравнение)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meghaśyāmaḥ: megha iva śyāmaḥ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upamānottarapada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X vyāghra iva (сравн. справа)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puruṣa-vyāghraḥ: puruṣo vyāghra iva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avadhāraṇa / rūpaka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X eva Y (метафора)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vidyādhanam: vidyā eva dhanam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sambhāvanā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X iti Y (предположение)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guṇabuddhiḥ: guṇa iti buddhiḥ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6b3a6b"/>
          <w:sz w:val="26"/>
          <w:szCs w:val="26"/>
        </w:rPr>
        <w:t xml:space="preserve">Чеклист Г: сигналы компонентов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Применение: </w:t>
      </w:r>
      <w:r>
        <w:rPr>
          <w:rFonts w:ascii="Arial" w:cs="Arial" w:eastAsia="Arial" w:hAnsi="Arial"/>
          <w:sz w:val="21"/>
          <w:szCs w:val="21"/>
        </w:rPr>
        <w:t xml:space="preserve">если виграха не помогает — ищи характерные компоненты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Сигнал в составе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Вероятный тип и точность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Первый: a-/an-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nañ-tatpuruṣa (F=99%) ИЛИ nañ-bahuvrīhi → проверь виграху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Первый: upa-, adhi-, anu-, nir-, su-, dur-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avyayībhāva (F=93%) — если итог = наречие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Правый: bhaya, bhīti, bhī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pañcamī-tatpuruṣa (F=87%)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Правый: hita, sukha, bali, rakṣita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caturthī-tatpuruṣa (F=87%)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Правый: śauṇḍa, kuśala, nipuṇa, paṇḍita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saptamī-tatpuruṣa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Правый: ktānta (gata-, śrita-, atīta-, trāta-)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dvitīyā-tatpuruṣa ЛИБО bahuvrīhi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Итог ≠ роду правого компонента ★★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bahuvrīhi (высокая надёжность, Ruppel)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Итог = acc.sg.nt., функция = наречие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avyayībhāva (высокая надёжность)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Итог в du./pl. + смысл «X и Y»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itaretara-dvandva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Итог = sg.nt. + смысл «X, Y и Z» (совокупность)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samāhāra-dvandva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sa- в первой части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saha-bahuvrīhi (BvS)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Первый = числительное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dvigu (особая karmadhāraya, Пан. 2.1.52)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8b5a1a"/>
          <w:sz w:val="26"/>
          <w:szCs w:val="26"/>
        </w:rPr>
        <w:t xml:space="preserve">Чеклист Д: разграничение tatpuruṣa / bahuvrīhi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Главная зона конфликта: </w:t>
      </w:r>
      <w:r>
        <w:rPr>
          <w:rFonts w:ascii="Arial" w:cs="Arial" w:eastAsia="Arial" w:hAnsi="Arial"/>
          <w:sz w:val="21"/>
          <w:szCs w:val="21"/>
        </w:rPr>
        <w:t xml:space="preserve">&gt;600 общих компонентов в корпусе (Krishna et al. 2016). Контекст — последний арбитр.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Признак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tatpuruṣa / bahuvrīhi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Грамматическая функция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tatpuruṣa = существительное / bahuvrīhi = прилагательное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Грамматический род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tatpuruṣa = род правого компонента / bahuvrīhi = род внешнего слова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Формула виграхи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tatpuruṣa: «X gen. Y» / bahuvrīhi: «Y yasya saḥ»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Первый a-/an- (nañ)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nañ-tp.: «na Y» / nañ-bv.: «avidyamānaḥ Y yasya saḥ»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Статистика ошибок nañ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13 из 14 ошибок nañ-bv → tatpuruṣa (Krishna 2016)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vs. bahuvrīhi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38 из 70 ошибок tatpuruṣa→bahuvrīhi = karmadh. (Krishna 2016)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Контекст dvandva / avyayībhāva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Эти два типа НИКОГДА не путаются между собой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aps/>
          <w:color w:val="1A1A2E"/>
          <w:sz w:val="32"/>
          <w:szCs w:val="32"/>
        </w:rPr>
        <w:t xml:space="preserve">B. СТАТИСТИЧЕСКИЕ ТАБЛИЦЫ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1A1A2E"/>
          <w:sz w:val="26"/>
          <w:szCs w:val="26"/>
        </w:rPr>
        <w:t xml:space="preserve">Таблица Б-1: частотность 4 основных классов (датасет UoHyd, n=9952)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7"/>
        <w:gridCol w:w="2707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Класс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Число примеров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от общего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4 266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42.9%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4 271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42.9%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dvandva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1 176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11.8%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avyayībhāva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239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2.4%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ИТОГО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9 952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1A1A2E"/>
          <w:sz w:val="26"/>
          <w:szCs w:val="26"/>
        </w:rPr>
        <w:t xml:space="preserve">Таблица Б-2: частотность подтипов (Sanskrit Consortium, n=64K)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Источник: </w:t>
      </w:r>
      <w:r>
        <w:rPr>
          <w:rFonts w:ascii="Arial" w:cs="Arial" w:eastAsia="Arial" w:hAnsi="Arial"/>
          <w:sz w:val="21"/>
          <w:szCs w:val="21"/>
        </w:rPr>
        <w:t xml:space="preserve">Kulkarni &amp; Anil Kumar (2013), anil.pdf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4964"/>
        <w:gridCol w:w="2707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Тег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Подтип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корпуса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T6 ★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ṣaṣṭhī-tatpuruṣa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40.56% — НАИБОЛЕЕ ЧАСТЫЙ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K1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viśeṣaṇapūrvapada-karmadhāraya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12.29%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Bs6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ṣaṣṭhyartha-bahuvrīhi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6.39%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Tn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nañ-tatpuruṣa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5.9%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U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upapada-tatpuruṣa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4.32%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A1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avyayībhāva (avyaya-pūrvapada)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~2.4%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T4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caturthī-tatpuruṣa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~1.6%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K1+Bs6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T6+Bs6 вместе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~47% всех! (правила Пāṇ. слишком общие)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1A1A2E"/>
          <w:sz w:val="26"/>
          <w:szCs w:val="26"/>
        </w:rPr>
        <w:t xml:space="preserve">Таблица Б-3: производительность правил Пāṇини (Anil et al.)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353"/>
        <w:gridCol w:w="6318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Тег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F-score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Tn (nañ-tp.)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99.3%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Лучший результат — формально однозначен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Tk (ku-tp.)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97.9%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Также хорошо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A1 (avyayībhāva)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93.1%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Хорошо при наличии списков avyaya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T4 (caturthī)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87.3%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Слова artha, bali, hita — хороший сигнал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K1 (karmadhāraya)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46.5%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Низкий recall — правило слишком общее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T5 (pañcamī)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22.1%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Требует семантики инструмента/результата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T2 (dvitīyā)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20.0%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Требует семантики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T3 (tṛtīyā)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5.0%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Практически не работает без e-лексикона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T7 (saptamī)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1.1%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Правила почти бесполезны без лексикона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aps w:val="false"/>
          <w:color w:val="1A1A2E"/>
          <w:sz w:val="26"/>
          <w:szCs w:val="26"/>
        </w:rPr>
        <w:t xml:space="preserve">Таблица Б-4: статистика MW-словаря и DCS-корпуса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5"/>
      </w:tblGrid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Доля самас в MW-словаре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75.6% (217 290 из 287 425 лемм)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Из них: двучленные (2 пады)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182 449 (84.0% всех самас)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Из них: трёхчленные (3 пады)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30 591 (14.1%)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Из них: четырёхчленные (4 пады)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3 532 (1.6%)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Из них: 5–10 пад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687 (0.3%) — длиннейший: 10 пад (1 запись)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Доля самас в словаре DCS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75% словаря; 43% имеют 3+ компонента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Нулевая частота самас в корпусе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~50% — отсутствуют в тексте-корпусе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Сравнение с нем./англ. языками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75% (санскр.) vs. 47% (нем.) vs. 3–4% (англ.)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aps/>
          <w:color w:val="1A1A2E"/>
          <w:sz w:val="32"/>
          <w:szCs w:val="32"/>
        </w:rPr>
        <w:t xml:space="preserve">C. ТРЁХЪЯЗЫЧНАЯ ТАБЛИЦА ПАРАЛЛЕЛЕЙ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Источники: </w:t>
      </w:r>
      <w:r>
        <w:rPr>
          <w:rFonts w:ascii="Arial" w:cs="Arial" w:eastAsia="Arial" w:hAnsi="Arial"/>
          <w:sz w:val="21"/>
          <w:szCs w:val="21"/>
        </w:rPr>
        <w:t xml:space="preserve">Зализняк §§192–194; Ruppel pp.138–142; Лейтан §§4–7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4"/>
        <w:gridCol w:w="3384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 самасы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Русский аналог (Зализняк)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Английский аналог (Ruppel)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 (ṣaṣṭhī)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маслозавод, царедворец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treehouse, cookbook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 (dvitīyā)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громоподобный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sightseeing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(прилаг.+сущ.)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белоэмигрант, темно-серый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blackbird, whiteboard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(аппозиция)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царь-пушка, диван-кровать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city-state, singer-songwriter (≠ dvandva!)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(сравнение)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медово-жёлтый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ruby-red, crystal-clear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длиннорукий, одноногий, безродный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barefoot, brown-eyed, lightweight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dvandva (itaretara)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хлеб-соль, купля-продажа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bitter-sweet (adj.)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dvandva (samāhāra)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(нет прямого аналога)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(нет прямого аналога)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avyayībhāva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вблизи, невдалеке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(нет прямого аналога)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nañ-tatpuruṣa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безродный, бездомный (cp. тип)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unlikeness, ingratitude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aps/>
          <w:color w:val="1A1A2E"/>
          <w:sz w:val="32"/>
          <w:szCs w:val="32"/>
        </w:rPr>
        <w:t xml:space="preserve">D. МАТРИЦА КОНФЛИКТУЮЩИХ ПАР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Источник: </w:t>
      </w:r>
      <w:r>
        <w:rPr>
          <w:rFonts w:ascii="Arial" w:cs="Arial" w:eastAsia="Arial" w:hAnsi="Arial"/>
          <w:sz w:val="21"/>
          <w:szCs w:val="21"/>
        </w:rPr>
        <w:t xml:space="preserve">Krishna et al. 2016 (confusion matrix); Sandhan et al. 2019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3429"/>
        <w:gridCol w:w="361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Пара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Зона конфликта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Ключ к разграничению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 ↔ 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&gt;600 общих компонентов в корпусе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Грамматический род итога; синтаксическая роль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→ 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38 из 70 ошибок tp→bv из karmadh.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83.8% karmadh. верно определяются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nañ-tatpuruṣa ↔ nañ-bahuvrīhi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Оба: a-/an- первый компонент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Виграха: «na Y» vs. «avidyamānaḥ Y yasya saḥ»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 ↔ avyayībhāva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prādi-tp. с avyaya-первым (ativanam)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Падеж итога; семантика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 ↔ 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nīlotpalam — один состав, два типа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Внешнее слово + контекст; род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dvandva ↔ avyayībhāva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НИКОГДА не путаются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— формально различимы 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aps/>
          <w:color w:val="1A1A2E"/>
          <w:sz w:val="32"/>
          <w:szCs w:val="32"/>
        </w:rPr>
        <w:t xml:space="preserve">E. СЕМАНТИЧЕСКИЕ УСЛОВИЯ ПАНИНИ</w:t>
      </w:r>
    </w:p>
    <w:p>
      <w:pPr>
        <w:pBdr>
          <w:left w:val="single" w:color="2E4057" w:sz="8" w:space="6"/>
        </w:pBdr>
        <w:shd w:fill="F5F0E6" w:val="clear"/>
        <w:spacing w:before="80" w:after="8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Источник: </w:t>
      </w:r>
      <w:r>
        <w:rPr>
          <w:rFonts w:ascii="Arial" w:cs="Arial" w:eastAsia="Arial" w:hAnsi="Arial"/>
          <w:sz w:val="21"/>
          <w:szCs w:val="21"/>
        </w:rPr>
        <w:t xml:space="preserve">Kulkarni &amp; Anil Kumar 2013 (anil.pdf). Если лексикон содержит данную пометку — автоидентификация возможна.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3159"/>
        <w:gridCol w:w="3159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Семантическое свойство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Нужно для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Сутра Панини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«название реки»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Avyayībhāva (2.1.20)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nadībhiś ca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«название семьи»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Avyayībhāva (2.1.19)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saṃkhyā vaṃśyena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«название направления»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dig-bahuvrīhi (2.2.26)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diṅnāmānyantar āle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«слово цвета»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viśeṣaṇobhayapada-km. (2.1.69)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varṇo varṇena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«слово похвалы»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upamānottarapada-km. (2.1.66)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praśaṃsāvacanaiś ca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«4-ногое животное»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karmadhāraya (2.1.71)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catuṣpādo garbhiṇyā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«часть суток»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saptamī-tatpuruṣa (2.1.45)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ktenāhorātrāvayavāḥ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«орудие/инструмент»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tṛtīyā-tatpuruṣa (2.1.30)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tṛtīyā tatkṛtārthena — требует семантики!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«avyaya»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avyayībhāva (2.1.6)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avyayaṃ vibhakti-samīpa…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aps/>
          <w:color w:val="1A1A2E"/>
          <w:sz w:val="32"/>
          <w:szCs w:val="32"/>
        </w:rPr>
        <w:t xml:space="preserve">F. ЗАПАДНАЯ ТЕРМИНОЛОГИЯ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159"/>
        <w:gridCol w:w="3610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Санскр. термин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Западный термин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Буквальный смысл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dependent determinative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«Его-человек / его слуга»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karmadhāraya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descriptive determinative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(значение неясно — только технич. термин)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bahuvrīhi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possessive / exocentric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«Имеющий много риса» → «богатый»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dvandva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coordinative / copulative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«пара, два-два» (dvam + dvam)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avyayībhāva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indeclinable compound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«состояние неизменяемого слова»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aluk-samāsa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preserved-case compound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«самаса без luk (элизии)»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dvigu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(numeral karmadhāraya)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«две коровы» → цена/количество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upapada-tatpuruṣa</w:t>
            </w:r>
          </w:p>
        </w:tc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(upapada compound)</w:t>
            </w:r>
          </w:p>
        </w:tc>
        <w:tc>
          <w:tcPr>
            <w:tcW w:type="dxa" w:w="36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«с дополнительным словом»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Источники: Ruppel (2017), pp. 137–144; Лейтан (2026), §§4–7; Зализняк §§191–197; Kulkarni &amp; Kumar (2013).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4"/>
      </w:pBdr>
      <w:spacing w:before="360" w:after="160"/>
      <w:outlineLvl w:val="0"/>
    </w:pPr>
    <w:rPr>
      <w:rFonts w:ascii="Arial" w:cs="Arial" w:eastAsia="Arial" w:hAnsi="Arial"/>
      <w:b/>
      <w:bCs/>
      <w:cap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E5C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2026-03-27T10:29:31.240Z</dcterms:created>
  <dcterms:modified xsi:type="dcterms:W3CDTF">2026-03-27T10:29:31.241Z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