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6" w:name="content"/>
    <w:bookmarkStart w:id="95" w:name="X216f77104b1a86c2699aa2b55cbf0a693285523"/>
    <w:p>
      <w:pPr>
        <w:pStyle w:val="Heading1"/>
      </w:pPr>
      <w:r>
        <w:t xml:space="preserve">Улучшение методики преподавания иностранного языка на основе приложенного конспекта и доказательной базы</w:t>
      </w:r>
    </w:p>
    <w:bookmarkStart w:id="26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Приложенный PDF представляет собой методический конспект‑справочник по разбору санскритских сложных слов (samāsa), построенный вокруг</w:t>
      </w:r>
      <w:r>
        <w:t xml:space="preserve"> </w:t>
      </w:r>
      <w:r>
        <w:rPr>
          <w:b/>
          <w:bCs/>
        </w:rPr>
        <w:t xml:space="preserve">явного объяснения правил</w:t>
      </w:r>
      <w:r>
        <w:t xml:space="preserve">,</w:t>
      </w:r>
      <w:r>
        <w:t xml:space="preserve"> </w:t>
      </w:r>
      <w:r>
        <w:rPr>
          <w:b/>
          <w:bCs/>
        </w:rPr>
        <w:t xml:space="preserve">таксономии типов</w:t>
      </w:r>
      <w:r>
        <w:t xml:space="preserve">,</w:t>
      </w:r>
      <w:r>
        <w:t xml:space="preserve"> </w:t>
      </w:r>
      <w:r>
        <w:rPr>
          <w:b/>
          <w:bCs/>
        </w:rPr>
        <w:t xml:space="preserve">пошагового формально‑грамматического анализа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перевода</w:t>
      </w:r>
      <w:r>
        <w:t xml:space="preserve"> </w:t>
      </w:r>
      <w:r>
        <w:t xml:space="preserve">как основной формы закрепления. fileciteturn0file0 Такой дизайн хорошо соответствует традиции «grammar‑translation» и современному направлению</w:t>
      </w:r>
      <w:r>
        <w:t xml:space="preserve"> </w:t>
      </w:r>
      <w:r>
        <w:rPr>
          <w:b/>
          <w:bCs/>
        </w:rPr>
        <w:t xml:space="preserve">формо‑ориентированного обучения</w:t>
      </w:r>
      <w:r>
        <w:t xml:space="preserve"> </w:t>
      </w:r>
      <w:r>
        <w:t xml:space="preserve">(</w:t>
      </w:r>
      <w:r>
        <w:rPr>
          <w:i/>
          <w:iCs/>
        </w:rPr>
        <w:t xml:space="preserve">focus on form / forms</w:t>
      </w:r>
      <w:r>
        <w:t xml:space="preserve">), для которого в целом наблюдаются</w:t>
      </w:r>
      <w:r>
        <w:t xml:space="preserve"> </w:t>
      </w:r>
      <w:r>
        <w:rPr>
          <w:b/>
          <w:bCs/>
        </w:rPr>
        <w:t xml:space="preserve">крупные эффекты</w:t>
      </w:r>
      <w:r>
        <w:t xml:space="preserve"> </w:t>
      </w:r>
      <w:r>
        <w:t xml:space="preserve">в метаанализах по развитию точности и целевых языковых форм (например, суммарно</w:t>
      </w:r>
      <w:r>
        <w:t xml:space="preserve"> </w:t>
      </w:r>
      <w:r>
        <w:rPr>
          <w:i/>
          <w:iCs/>
        </w:rPr>
        <w:t xml:space="preserve">g ≈ 1.06</w:t>
      </w:r>
      <w:r>
        <w:t xml:space="preserve"> </w:t>
      </w:r>
      <w:r>
        <w:t xml:space="preserve">для инструктажа в исследованиях ISLA).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При этом в PDF (по доступному содержанию) слабо представлены компоненты, которые современная эмпирика связывает с устойчивыми приростами:</w:t>
      </w:r>
      <w:r>
        <w:t xml:space="preserve"> </w:t>
      </w:r>
      <w:r>
        <w:rPr>
          <w:b/>
          <w:bCs/>
        </w:rPr>
        <w:t xml:space="preserve">распределённая практика и интервальные повторения</w:t>
      </w:r>
      <w:r>
        <w:t xml:space="preserve"> </w:t>
      </w:r>
      <w:r>
        <w:t xml:space="preserve">(</w:t>
      </w:r>
      <w:r>
        <w:rPr>
          <w:i/>
          <w:iCs/>
        </w:rPr>
        <w:t xml:space="preserve">spaced practice</w:t>
      </w:r>
      <w:r>
        <w:t xml:space="preserve">),</w:t>
      </w:r>
      <w:r>
        <w:t xml:space="preserve"> </w:t>
      </w:r>
      <w:r>
        <w:rPr>
          <w:b/>
          <w:bCs/>
        </w:rPr>
        <w:t xml:space="preserve">систематическая формативная оценка и обратная связь</w:t>
      </w:r>
      <w:r>
        <w:t xml:space="preserve">,</w:t>
      </w:r>
      <w:r>
        <w:t xml:space="preserve"> </w:t>
      </w:r>
      <w:r>
        <w:rPr>
          <w:b/>
          <w:bCs/>
        </w:rPr>
        <w:t xml:space="preserve">проектирование учебных результатов (“can‑do”) и выравнивание “цели–активности–оценивание”</w:t>
      </w:r>
      <w:r>
        <w:t xml:space="preserve">,</w:t>
      </w:r>
      <w:r>
        <w:t xml:space="preserve"> </w:t>
      </w:r>
      <w:r>
        <w:rPr>
          <w:b/>
          <w:bCs/>
        </w:rPr>
        <w:t xml:space="preserve">дифференциация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технологическая поддержка</w:t>
      </w:r>
      <w:r>
        <w:t xml:space="preserve"> </w:t>
      </w:r>
      <w:r>
        <w:t xml:space="preserve">(корпусные инструменты, автоматизированная обратная связь по письму/произношению, чат‑боты/ИИ‑тьюторы) как средства увеличения объёма практики и персонализации.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Оптимальная стратегия улучшения методики для такого курса (грамматика/чтение/перевод, включая «сложные слова») — не «замена» подхода, а</w:t>
      </w:r>
      <w:r>
        <w:t xml:space="preserve"> </w:t>
      </w:r>
      <w:r>
        <w:rPr>
          <w:b/>
          <w:bCs/>
        </w:rPr>
        <w:t xml:space="preserve">гибридная модель</w:t>
      </w:r>
      <w:r>
        <w:t xml:space="preserve">:</w:t>
      </w:r>
      <w:r>
        <w:t xml:space="preserve"> </w:t>
      </w:r>
      <w:r>
        <w:t xml:space="preserve">- сохранить сильные стороны PDF: ясную классификацию, алгоритм анализа и переводческие стратегии;</w:t>
      </w:r>
      <w:r>
        <w:t xml:space="preserve"> </w:t>
      </w:r>
      <w:r>
        <w:t xml:space="preserve">- встроить их в цикл</w:t>
      </w:r>
      <w:r>
        <w:t xml:space="preserve"> </w:t>
      </w:r>
      <w:r>
        <w:rPr>
          <w:b/>
          <w:bCs/>
        </w:rPr>
        <w:t xml:space="preserve">задачности (task‑supported learning)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коммуникативной осмысленности</w:t>
      </w:r>
      <w:r>
        <w:t xml:space="preserve"> </w:t>
      </w:r>
      <w:r>
        <w:t xml:space="preserve">(даже в «классических» языках — через задачи интерпретации, аннотирования, критического комментария и сравнительного перевода);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- добавить</w:t>
      </w:r>
      <w:r>
        <w:t xml:space="preserve"> </w:t>
      </w:r>
      <w:r>
        <w:rPr>
          <w:b/>
          <w:bCs/>
        </w:rPr>
        <w:t xml:space="preserve">распределённую практику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ретенционные проверки</w:t>
      </w:r>
      <w:r>
        <w:t xml:space="preserve">, где в метаанализе для L2 показаны эффекты порядка</w:t>
      </w:r>
      <w:r>
        <w:t xml:space="preserve"> </w:t>
      </w:r>
      <w:r>
        <w:rPr>
          <w:i/>
          <w:iCs/>
        </w:rPr>
        <w:t xml:space="preserve">g ≈ 0.58</w:t>
      </w:r>
      <w:r>
        <w:t xml:space="preserve"> </w:t>
      </w:r>
      <w:r>
        <w:t xml:space="preserve">(немедленно) и</w:t>
      </w:r>
      <w:r>
        <w:t xml:space="preserve"> </w:t>
      </w:r>
      <w:r>
        <w:rPr>
          <w:i/>
          <w:iCs/>
        </w:rPr>
        <w:t xml:space="preserve">g ≈ 0.80</w:t>
      </w:r>
      <w:r>
        <w:t xml:space="preserve"> </w:t>
      </w:r>
      <w:r>
        <w:t xml:space="preserve">(удержание).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- усилить методику технологически (без бюджетных ограничений) через LMS, корпуса и ИИ‑поддержку; при этом учитывать неоднородность эффектов и риски генеративной обратной связи.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Дорожная карта внедрения включает: постановку измеримых результатов (по CEFR/ACTFL‑подобной логике дескрипторов), перепроектирование урока в «вход → задача → фокус на форме → обратная связь → интервальное повторение», пилот на 6–8 недель, затем масштабирование с метриками прогресса и качественными наблюдениями.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26"/>
    <w:bookmarkStart w:id="32" w:name="X51fb8ac51438499dcb723593eddb30fe465f95b"/>
    <w:p>
      <w:pPr>
        <w:pStyle w:val="Heading2"/>
      </w:pPr>
      <w:r>
        <w:t xml:space="preserve">Что заложено в PDF и где “узкие места” относительно доказательной базы</w:t>
      </w:r>
    </w:p>
    <w:bookmarkStart w:id="27" w:name="наблюдаемый-методический-профиль-pdf"/>
    <w:p>
      <w:pPr>
        <w:pStyle w:val="Heading3"/>
      </w:pPr>
      <w:r>
        <w:t xml:space="preserve">Наблюдаемый методический профиль PDF</w:t>
      </w:r>
    </w:p>
    <w:p>
      <w:pPr>
        <w:pStyle w:val="FirstParagraph"/>
      </w:pPr>
      <w:r>
        <w:t xml:space="preserve">По структуре и целям документ функционирует как</w:t>
      </w:r>
      <w:r>
        <w:t xml:space="preserve"> </w:t>
      </w:r>
      <w:r>
        <w:rPr>
          <w:b/>
          <w:bCs/>
        </w:rPr>
        <w:t xml:space="preserve">краткий теоретико‑практический справочник</w:t>
      </w:r>
      <w:r>
        <w:t xml:space="preserve">, где обучающийся (или преподаватель) получает:</w:t>
      </w:r>
      <w:r>
        <w:t xml:space="preserve"> </w:t>
      </w:r>
      <w:r>
        <w:t xml:space="preserve">- систему категорий (типы samāsa) и терминологию;</w:t>
      </w:r>
      <w:r>
        <w:t xml:space="preserve"> </w:t>
      </w:r>
      <w:r>
        <w:t xml:space="preserve">- алгоритм разбора (включая восстановление отношений/парафразы и последующий перевод);</w:t>
      </w:r>
      <w:r>
        <w:t xml:space="preserve"> </w:t>
      </w:r>
      <w:r>
        <w:t xml:space="preserve">- примеры и отдельные практические задания/упражнения. fileciteturn0file0</w:t>
      </w:r>
    </w:p>
    <w:p>
      <w:pPr>
        <w:pStyle w:val="BodyText"/>
      </w:pPr>
      <w:r>
        <w:t xml:space="preserve">Такой профиль соответствует</w:t>
      </w:r>
      <w:r>
        <w:t xml:space="preserve"> </w:t>
      </w:r>
      <w:r>
        <w:rPr>
          <w:b/>
          <w:bCs/>
        </w:rPr>
        <w:t xml:space="preserve">явному инструктажу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формо‑ориентированному обучению</w:t>
      </w:r>
      <w:r>
        <w:t xml:space="preserve">, которое, по данным метааналитической литературы ISLA, в среднем демонстрирует большие эффекты на языковые результаты (хотя величины зависят от типов измерений, интенсивности и контекста).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7"/>
    <w:bookmarkStart w:id="28" w:name="сильные-стороны-что-стоит-сохранить"/>
    <w:p>
      <w:pPr>
        <w:pStyle w:val="Heading3"/>
      </w:pPr>
      <w:r>
        <w:t xml:space="preserve">Сильные стороны (что стоит сохранить)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Высокая “разрешающая способность” грамматического анализа</w:t>
      </w:r>
      <w:r>
        <w:t xml:space="preserve">: таксономия + процедура принятия решения дают обучаемому опору для точного разбора и перевода, что особенно важно в языках с богатой морфологией и сложным словообразованием. fileciteturn0file0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Сильное соответствие целям “точность/чтение/перевод”</w:t>
      </w:r>
      <w:r>
        <w:t xml:space="preserve">: для задач чтения и перевода явные правила и фокус на форме могут быть продуктивны, а исследования по инструктажу в целом подтверждают значимые приросты.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8"/>
    <w:bookmarkStart w:id="31" w:name="Xb3fe0716656e103548b0c78a1cdbd5ebbf826f2"/>
    <w:p>
      <w:pPr>
        <w:pStyle w:val="Heading3"/>
      </w:pPr>
      <w:r>
        <w:t xml:space="preserve">Методические разрывы и возможности улучшения</w:t>
      </w:r>
    </w:p>
    <w:p>
      <w:pPr>
        <w:pStyle w:val="FirstParagraph"/>
      </w:pPr>
      <w:r>
        <w:t xml:space="preserve">Даже при эффективном формальном ядре, в PDF (как минимум в явном виде) недостаёт элементов, для которых доказательная база сравнительно сильна: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Распределённая практика и ретенционные проверки</w:t>
      </w:r>
      <w:r>
        <w:t xml:space="preserve">: метаанализ по</w:t>
      </w:r>
      <w:r>
        <w:t xml:space="preserve"> </w:t>
      </w:r>
      <w:r>
        <w:rPr>
          <w:i/>
          <w:iCs/>
        </w:rPr>
        <w:t xml:space="preserve">spaced practice</w:t>
      </w:r>
      <w:r>
        <w:t xml:space="preserve"> </w:t>
      </w:r>
      <w:r>
        <w:t xml:space="preserve">в L2 показывает средние‑крупные эффекты и подчёркивает роль интервалов, типов активности и времени обратной связи.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br/>
      </w:r>
      <w:r>
        <w:rPr>
          <w:i/>
          <w:iCs/>
        </w:rPr>
        <w:t xml:space="preserve">Возможность</w:t>
      </w:r>
      <w:r>
        <w:t xml:space="preserve">: превратить перечни типов/подтипов samāsa и диагностические признаки в набор “retrieval prompts” (карточки, мини‑квизы, устные быстрые разборы) с расписанием повторений.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Система обратной связи и коррекции ошибок</w:t>
      </w:r>
      <w:r>
        <w:t xml:space="preserve">: корректирующая обратная связь в SLA в среднем даёт эффект около</w:t>
      </w:r>
      <w:r>
        <w:t xml:space="preserve"> </w:t>
      </w:r>
      <w:r>
        <w:rPr>
          <w:i/>
          <w:iCs/>
        </w:rPr>
        <w:t xml:space="preserve">g ≈ 0.61–0.64</w:t>
      </w:r>
      <w:r>
        <w:t xml:space="preserve"> </w:t>
      </w:r>
      <w:r>
        <w:t xml:space="preserve">(после исключения выбросов), но эффект варьирует по типам фидбэка и тестам.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rPr>
          <w:i/>
          <w:iCs/>
        </w:rPr>
        <w:t xml:space="preserve">Возможность</w:t>
      </w:r>
      <w:r>
        <w:t xml:space="preserve">: добавить протоколы “когда/как исправлять” (на этапе анализа vs после перевода; индивидуально vs в группе; метаязыково vs перефразом).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Привязка к измеримым результатам и критериям успешности</w:t>
      </w:r>
      <w:r>
        <w:t xml:space="preserve">: современные рамки предлагают дескрипторы “can‑do”, которые облегчают проектирование, оценивание и прозрачность требований.</w:t>
      </w:r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br/>
      </w:r>
      <w:r>
        <w:rPr>
          <w:i/>
          <w:iCs/>
        </w:rPr>
        <w:t xml:space="preserve">Возможность</w:t>
      </w:r>
      <w:r>
        <w:t xml:space="preserve">: сформулировать результаты для “умения разбора композитов” как наблюдаемые действия (распознать тип → обосновать признаки → восстановить отношения → предложить 2–3 валидных перевода с аргументацией).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Дифференциация</w:t>
      </w:r>
      <w:r>
        <w:t xml:space="preserve">: PDF как справочник полезен продвинутым, но может перегружать начинающих без ступенчатого scaffolding. Современные данные по мотивации/тревожности показывают, что аффективные факторы существенно связаны с достижениями (например, средняя корреляция тревожности с достижением около</w:t>
      </w:r>
      <w:r>
        <w:t xml:space="preserve"> </w:t>
      </w:r>
      <w:r>
        <w:rPr>
          <w:i/>
          <w:iCs/>
        </w:rPr>
        <w:t xml:space="preserve">r ≈ −0.36</w:t>
      </w:r>
      <w:r>
        <w:t xml:space="preserve">).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br/>
      </w:r>
      <w:r>
        <w:rPr>
          <w:i/>
          <w:iCs/>
        </w:rPr>
        <w:t xml:space="preserve">Возможность</w:t>
      </w:r>
      <w:r>
        <w:t xml:space="preserve">: уровневые траектории (A2–B1: распознавание базовых типов на коротких примерах; B2–C1: разбор в аутентичных текстах; C2: критическое сравнение переводов/комментариев).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Обоснованная интеграция технологий</w:t>
      </w:r>
      <w:r>
        <w:t xml:space="preserve">: метаанализ технологически поддержанного языкового обучения сообщает о больших средних эффектах (например,</w:t>
      </w:r>
      <w:r>
        <w:t xml:space="preserve"> </w:t>
      </w:r>
      <w:r>
        <w:rPr>
          <w:i/>
          <w:iCs/>
        </w:rPr>
        <w:t xml:space="preserve">+1.12</w:t>
      </w:r>
      <w:r>
        <w:t xml:space="preserve"> </w:t>
      </w:r>
      <w:r>
        <w:t xml:space="preserve">в обзоре по tech‑supported language learning), но результаты гетерогенны и зависят от дизайна.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br/>
      </w:r>
      <w:r>
        <w:rPr>
          <w:i/>
          <w:iCs/>
        </w:rPr>
        <w:t xml:space="preserve">Возможность</w:t>
      </w:r>
      <w:r>
        <w:t xml:space="preserve">: внедрить корпуса (для частотности и коллокаций), ASR для произношения, AWE для письма, чат‑ботов для диалогов и “объяснения себе”.</w:t>
      </w:r>
    </w:p>
    <w:bookmarkEnd w:id="31"/>
    <w:bookmarkEnd w:id="32"/>
    <w:bookmarkStart w:id="62" w:name="X3e660622a2c9c6fafd57674dfc2a874bf2fa8fd"/>
    <w:p>
      <w:pPr>
        <w:pStyle w:val="Heading2"/>
      </w:pPr>
      <w:r>
        <w:t xml:space="preserve">Обзор современных методик и их применимость</w:t>
      </w:r>
    </w:p>
    <w:p>
      <w:pPr>
        <w:pStyle w:val="FirstParagraph"/>
      </w:pPr>
      <w:r>
        <w:t xml:space="preserve">Ниже — аналитический обзор ключевых подходов с учётом: типичных практик, сильных/слабых сторон, эмпирической поддержки и пригодности по возрасту/уровню/масштабу/целям.</w:t>
      </w:r>
    </w:p>
    <w:bookmarkStart w:id="34" w:name="коммуникативное-обучение-языку-clt"/>
    <w:p>
      <w:pPr>
        <w:pStyle w:val="Heading3"/>
      </w:pPr>
      <w:r>
        <w:t xml:space="preserve">Коммуникативное обучение языку (CLT)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CLT ориентируется на развитие коммуникативной компетенции; грамматика и лексика подбираются под функции общения и ситуации, а занятия строятся вокруг смыслового обмена (role‑plays, information gap, обсуждения, работа с аутентичными текстами).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Высокая релевантность для целей “говорить/понимать/взаимодействовать”; увеличение доли смысловой практики часто снижает барьер и повышает вовлечённость.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CLT — “зонтичный” термин; эффективность зависит от качества дизайна, баланса fluency/accuracy и того, встроен ли фокус на форму. Критика CLT обычно связана с риском недоучёта точности, особенно при недостатке обратной связи или при слабой структурированности.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от младшей школы (с игровыми форматами) до взрослых.</w:t>
      </w:r>
      <w:r>
        <w:t xml:space="preserve"> </w:t>
      </w:r>
      <w:r>
        <w:t xml:space="preserve">- Уровни: A1–C2 (меняется доля опоры на шаблоны/подсказки).</w:t>
      </w:r>
      <w:r>
        <w:t xml:space="preserve"> </w:t>
      </w:r>
      <w:r>
        <w:t xml:space="preserve">- Класс: лучше в малых/средних группах; в больших группах требуется структурирование взаимодействия.</w:t>
      </w:r>
      <w:r>
        <w:t xml:space="preserve"> </w:t>
      </w:r>
      <w:r>
        <w:t xml:space="preserve">- Цели: особенно “общение/социализация/профессиональная коммуникация”; для академического чтения нужен усиленный модуль по текстовым стратегиям и лексике.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End w:id="34"/>
    <w:bookmarkStart w:id="36" w:name="обучение-на-основе-задач-tblt"/>
    <w:p>
      <w:pPr>
        <w:pStyle w:val="Heading3"/>
      </w:pPr>
      <w:r>
        <w:t xml:space="preserve">Обучение на основе задач (TBLT)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Ядро — задачи с “внешней целью” (получить информацию, решить проблему, подготовить продукт), где язык — инструмент выполнения. Типовой цикл: подготовка → выполнение задачи → разбор языка (focus on form) → повтор/перевыполнение.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Эмпирика.</w:t>
      </w:r>
      <w:r>
        <w:t xml:space="preserve"> </w:t>
      </w:r>
      <w:r>
        <w:t xml:space="preserve">Метаанализ программ TBLT сообщает сильный общий эффект (например,</w:t>
      </w:r>
      <w:r>
        <w:t xml:space="preserve"> </w:t>
      </w:r>
      <w:r>
        <w:rPr>
          <w:i/>
          <w:iCs/>
        </w:rPr>
        <w:t xml:space="preserve">d ≈ 0.93</w:t>
      </w:r>
      <w:r>
        <w:t xml:space="preserve">), однако последующие технические переоценки указывают на риск завышения и дают более умеренные оценки (например,</w:t>
      </w:r>
      <w:r>
        <w:t xml:space="preserve"> </w:t>
      </w:r>
      <w:r>
        <w:rPr>
          <w:i/>
          <w:iCs/>
        </w:rPr>
        <w:t xml:space="preserve">g ≈ 0.61</w:t>
      </w:r>
      <w:r>
        <w:t xml:space="preserve">) и подчёркивают проблему “что считать истинным TBLT”.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Хорошо связывает форму и смысл; естественно создаёт потребность в обратной связи; подходит для развития беглости и прагматики (в зависимости от задач).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Требует высокого методического мастерства: проектирование задач, оценивание результата и языкового прогресса, управление классом; при слабом дизайне превращается в “разговоры ради разговоров”.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детям (короткие задачи, игра), подросткам, взрослым (проектные задачи).</w:t>
      </w:r>
      <w:r>
        <w:t xml:space="preserve"> </w:t>
      </w:r>
      <w:r>
        <w:t xml:space="preserve">- Уровни: начиная с A2 (на A1 возможна “task‑supported” версия с шаблонами).</w:t>
      </w:r>
      <w:r>
        <w:t xml:space="preserve"> </w:t>
      </w:r>
      <w:r>
        <w:t xml:space="preserve">- Класс: работает и в больших группах при грамотно организованных парах/группах.</w:t>
      </w:r>
      <w:r>
        <w:t xml:space="preserve"> </w:t>
      </w:r>
      <w:r>
        <w:t xml:space="preserve">- Цели: повседневное/профессиональное общение, подготовка к реалистичным сценариям.</w:t>
      </w:r>
    </w:p>
    <w:bookmarkEnd w:id="36"/>
    <w:bookmarkStart w:id="40" w:name="X9f2d148715c202b6efa8a49b2401e127bd50069"/>
    <w:p>
      <w:pPr>
        <w:pStyle w:val="Heading3"/>
      </w:pPr>
      <w:r>
        <w:t xml:space="preserve">Предметно‑языковое интегрированное обучение (CLIL) и EMI‑CLIL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CLIL использует целевой язык как средство освоения предметного содержания (4С: content/communication/cognition/culture), требуя сильного scaffolding, визуализации, языковой поддержки и критериев успеха по содержанию и языку.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Эмпирика (языковые результаты).</w:t>
      </w:r>
      <w:r>
        <w:t xml:space="preserve"> </w:t>
      </w:r>
      <w:r>
        <w:t xml:space="preserve">Для школьных программ EMI‑CLIL метаанализ показывает заметные эффекты на развитие английской компетентности (например,</w:t>
      </w:r>
      <w:r>
        <w:t xml:space="preserve"> </w:t>
      </w:r>
      <w:r>
        <w:rPr>
          <w:i/>
          <w:iCs/>
        </w:rPr>
        <w:t xml:space="preserve">d ≈ 0.73</w:t>
      </w:r>
      <w:r>
        <w:t xml:space="preserve"> </w:t>
      </w:r>
      <w:r>
        <w:t xml:space="preserve">краткосрочно и</w:t>
      </w:r>
      <w:r>
        <w:t xml:space="preserve"> </w:t>
      </w:r>
      <w:r>
        <w:rPr>
          <w:i/>
          <w:iCs/>
        </w:rPr>
        <w:t xml:space="preserve">d ≈ 1.01</w:t>
      </w:r>
      <w:r>
        <w:t xml:space="preserve"> </w:t>
      </w:r>
      <w:r>
        <w:t xml:space="preserve">долгосрочно) при наличии модераторов (родство L1 к английскому, качество дизайна групп, тип измерений и др.).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br/>
      </w:r>
      <w:r>
        <w:t xml:space="preserve">Для начальной школы есть оценки порядка</w:t>
      </w:r>
      <w:r>
        <w:t xml:space="preserve"> </w:t>
      </w:r>
      <w:r>
        <w:rPr>
          <w:i/>
          <w:iCs/>
        </w:rPr>
        <w:t xml:space="preserve">d ≈ 0.63</w:t>
      </w:r>
      <w:r>
        <w:t xml:space="preserve"> </w:t>
      </w:r>
      <w:r>
        <w:t xml:space="preserve">для языкового обучения в пользу CLIL, с особенно сильным эффектом по говорению (в опубликованных обзорах).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Эмпирика (предметное содержание).</w:t>
      </w:r>
      <w:r>
        <w:t xml:space="preserve"> </w:t>
      </w:r>
      <w:r>
        <w:t xml:space="preserve">Систематический обзор/метаанализ по контент‑результатам (10–16 лет) показал суммарный эффект около</w:t>
      </w:r>
      <w:r>
        <w:t xml:space="preserve"> </w:t>
      </w:r>
      <w:r>
        <w:rPr>
          <w:i/>
          <w:iCs/>
        </w:rPr>
        <w:t xml:space="preserve">−0.14</w:t>
      </w:r>
      <w:r>
        <w:t xml:space="preserve"> </w:t>
      </w:r>
      <w:r>
        <w:t xml:space="preserve">(незначимо; высокая гетерогенность</w:t>
      </w:r>
      <w:r>
        <w:t xml:space="preserve"> </w:t>
      </w:r>
      <w:r>
        <w:rPr>
          <w:i/>
          <w:iCs/>
        </w:rPr>
        <w:t xml:space="preserve">I² ≈ 92%</w:t>
      </w:r>
      <w:r>
        <w:t xml:space="preserve">), то есть выигрыш по языку не гарантирует выигрыш по предмету без достаточного времени/ввода/поддержки.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Повышение объёма осмысленного входа, рост мотивации и “функциональности” языка; хорошо для академического языка и предметной лексики при длительных программах.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Высокие требования к педагогам и материалам; риск ухудшения понимания предмета при слабом языковом уровне; сложная оценка (двойные критерии).</w:t>
      </w:r>
      <w:r>
        <w:t xml:space="preserve"> </w:t>
      </w:r>
      <w:hyperlink r:id="rId39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чаще 10+; для младших — с очень мощным scaffolding.</w:t>
      </w:r>
      <w:r>
        <w:t xml:space="preserve"> </w:t>
      </w:r>
      <w:r>
        <w:t xml:space="preserve">- Уровни: минимум A2–B1 для полноценного предметного дискурса; ниже — “mini‑CLIL”.</w:t>
      </w:r>
      <w:r>
        <w:t xml:space="preserve"> </w:t>
      </w:r>
      <w:r>
        <w:t xml:space="preserve">- Цели: академический язык, билингвальные программы, профессиональная подготовка.</w:t>
      </w:r>
    </w:p>
    <w:bookmarkEnd w:id="40"/>
    <w:bookmarkStart w:id="42" w:name="Xd8f17e9a9b7b5bbe9f9d309c3d8498f89fc909f"/>
    <w:p>
      <w:pPr>
        <w:pStyle w:val="Heading3"/>
      </w:pPr>
      <w:r>
        <w:t xml:space="preserve">Грамматико‑переводной метод (Grammar‑Translation)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Центральные практики: перевод предложений/текстов, заучивание списков слов, объяснение правил, анализ форм, работа на родном языке; исторически — ключевой метод для классических языков.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Прямо поддерживает цели “читать/переводить/понимать грамматику”; для сложной морфологии может быть экономичным способом построить аналитическую модель языка. Общая литература по инструктажу в L2 показывает существенные выигрыши от формо‑ориентированного обучения (как минимум на измерениях точности).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Слабая переносимость на спонтанное общение и восприятие речи; риск “инертного знания” (правило известно, но не используется автоматически); часто не хватает распределённой практики и задач на беглость.</w:t>
      </w:r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подростки/взрослые чаще переносят метаязык; детям — осторожно.</w:t>
      </w:r>
      <w:r>
        <w:t xml:space="preserve"> </w:t>
      </w:r>
      <w:r>
        <w:t xml:space="preserve">- Уровни: A2+ (иначе перегруз); для B1–C1 чтение/перевод — очень уместно.</w:t>
      </w:r>
      <w:r>
        <w:t xml:space="preserve"> </w:t>
      </w:r>
      <w:r>
        <w:t xml:space="preserve">- Цели: классические языки, чтение академических текстов, перевод.</w:t>
      </w:r>
    </w:p>
    <w:bookmarkEnd w:id="42"/>
    <w:bookmarkStart w:id="44" w:name="аудиолингвальный-метод-audiolingual"/>
    <w:p>
      <w:pPr>
        <w:pStyle w:val="Heading3"/>
      </w:pPr>
      <w:r>
        <w:t xml:space="preserve">Аудиолингвальный метод (Audio‑lingual)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Диалоги‑образцы, многократные паттерн‑дриллы, имитация и автоматизация структур; исторически связан с интенсивными армейскими программами США 1940‑х, ориентированными на устную речь.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Может ускорять автоматизацию ограниченного набора структур и произносительных паттернов при высокой интенсивности и качественной обратной связи (как инструмент, а не как “самодостаточная методика”).</w:t>
      </w:r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Риск механистичности без смысла; слабая генерализация на новое содержание; в современных моделях чаще используется точечно (drills как микропрактика внутри более широкой коммуникативной/задачной рамки).</w:t>
      </w:r>
      <w:r>
        <w:t xml:space="preserve"> </w:t>
      </w:r>
      <w:hyperlink r:id="rId33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всем, но в дозированных форматах.</w:t>
      </w:r>
      <w:r>
        <w:t xml:space="preserve"> </w:t>
      </w:r>
      <w:r>
        <w:t xml:space="preserve">- Уровни: A1–B1 (аутоматизация базовых шаблонов); выше — для произношения/прагматики точечно.</w:t>
      </w:r>
      <w:r>
        <w:t xml:space="preserve"> </w:t>
      </w:r>
      <w:r>
        <w:t xml:space="preserve">- Цели: произносительная точность, скорость реакций, базовые формулы.</w:t>
      </w:r>
    </w:p>
    <w:bookmarkEnd w:id="44"/>
    <w:bookmarkStart w:id="48" w:name="лексический-подход-lexical-approach"/>
    <w:p>
      <w:pPr>
        <w:pStyle w:val="Heading3"/>
      </w:pPr>
      <w:r>
        <w:t xml:space="preserve">Лексический подход (Lexical Approach)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Фокус на “лексических единицах” шире отдельного слова: коллокации, чанки, формульные последовательности, шаблоны дискурса; обучение через noticing, работу с корпусами/конкордансерами и продуктивное использование устойчивых фрагментов.</w:t>
      </w:r>
      <w:r>
        <w:t xml:space="preserve"> </w:t>
      </w:r>
      <w:hyperlink r:id="rId45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Эмпирика.</w:t>
      </w:r>
      <w:r>
        <w:t xml:space="preserve"> </w:t>
      </w:r>
      <w:r>
        <w:t xml:space="preserve">Корпус‑поддержанное обучение лексике (DDL/корпус‑юз) показывает средний положительный эффект, например</w:t>
      </w:r>
      <w:r>
        <w:t xml:space="preserve"> </w:t>
      </w:r>
      <w:r>
        <w:rPr>
          <w:i/>
          <w:iCs/>
        </w:rPr>
        <w:t xml:space="preserve">Hedges’ g ≈ 0.74</w:t>
      </w:r>
      <w:r>
        <w:t xml:space="preserve"> </w:t>
      </w:r>
      <w:r>
        <w:t xml:space="preserve">для краткосрочных посттестов в метаанализе по L2‑лексике, с отдельными оценками и для отложенных измерений.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br/>
      </w:r>
      <w:r>
        <w:t xml:space="preserve">Отдельная линия доказательств — эффективность смысло‑ориентированного чтения/ввода для инцидентного словаря и важность частоты/экспозиции.</w:t>
      </w:r>
      <w:r>
        <w:t xml:space="preserve"> </w:t>
      </w:r>
      <w:hyperlink r:id="rId47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Быстро повышает “естественность” речи/письма; полезен для академического языка (collocations, bundles); хорошо сочетается с технологией (корпуса, подсказки).</w:t>
      </w:r>
      <w:r>
        <w:t xml:space="preserve"> </w:t>
      </w:r>
      <w:hyperlink r:id="rId46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Требует аккуратного отбора материала (частотность, полезность), иначе превращается в несистемный “набор фраз”; нужна связка с грамматикой и задачами.</w:t>
      </w:r>
      <w:r>
        <w:t xml:space="preserve"> </w:t>
      </w:r>
      <w:hyperlink r:id="rId35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от подростков до взрослых (детям — через ритм/песни/сторителлинг).</w:t>
      </w:r>
      <w:r>
        <w:t xml:space="preserve"> </w:t>
      </w:r>
      <w:r>
        <w:t xml:space="preserve">- Уровни: A1–C2 (на A1 — “chunks first”; на C1–C2 — дискурсивные шаблоны).</w:t>
      </w:r>
      <w:r>
        <w:t xml:space="preserve"> </w:t>
      </w:r>
      <w:r>
        <w:t xml:space="preserve">- Цели: беглость, письменная академическая продукция, профессиональная лексика.</w:t>
      </w:r>
    </w:p>
    <w:bookmarkEnd w:id="48"/>
    <w:bookmarkStart w:id="52" w:name="перевёрнутый-класс-flipped-classroom"/>
    <w:p>
      <w:pPr>
        <w:pStyle w:val="Heading3"/>
      </w:pPr>
      <w:r>
        <w:t xml:space="preserve">Перевёрнутый класс (Flipped classroom)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Перед уроком — вход (мини‑лекции/видео/чтение), на уроке — активная практика, обсуждение, задачи и обратная связь.</w:t>
      </w:r>
    </w:p>
    <w:p>
      <w:pPr>
        <w:pStyle w:val="BodyText"/>
      </w:pPr>
      <w:r>
        <w:rPr>
          <w:b/>
          <w:bCs/>
        </w:rPr>
        <w:t xml:space="preserve">Эмпирика.</w:t>
      </w:r>
      <w:r>
        <w:t xml:space="preserve"> </w:t>
      </w:r>
      <w:r>
        <w:t xml:space="preserve">В метаанализе по изучению второго языка перевёрнутые классы превосходят традиционные (например,</w:t>
      </w:r>
      <w:r>
        <w:t xml:space="preserve"> </w:t>
      </w:r>
      <w:r>
        <w:rPr>
          <w:i/>
          <w:iCs/>
        </w:rPr>
        <w:t xml:space="preserve">g ≈ 0.99</w:t>
      </w:r>
      <w:r>
        <w:t xml:space="preserve">, при высокой гетерогенности).</w:t>
      </w:r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Также есть более “узкие” метаанализы по английскому в вузе с умеренным эффектом (например,</w:t>
      </w:r>
      <w:r>
        <w:t xml:space="preserve"> </w:t>
      </w:r>
      <w:r>
        <w:rPr>
          <w:i/>
          <w:iCs/>
        </w:rPr>
        <w:t xml:space="preserve">ES ≈ 0.68</w:t>
      </w:r>
      <w:r>
        <w:t xml:space="preserve">).</w:t>
      </w:r>
      <w:r>
        <w:t xml:space="preserve"> </w:t>
      </w:r>
      <w:hyperlink r:id="rId5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Максимизирует время практики; позволяет персонализировать темп изучения входного материала; удобен для интеграции явной грамматики (как “micro‑input”) и задачности на уроке.</w:t>
      </w:r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Требует дисциплины и инфраструктуры; без контроля выполнения пред‑работы “ломается”; важен дизайн, а не формат сам по себе.</w:t>
      </w:r>
      <w:r>
        <w:t xml:space="preserve"> </w:t>
      </w:r>
      <w:hyperlink r:id="rId51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Возраст: 12+ (детям — с участием родителей/очень короткими заданиями).</w:t>
      </w:r>
      <w:r>
        <w:t xml:space="preserve"> </w:t>
      </w:r>
      <w:r>
        <w:t xml:space="preserve">- Уровни: A1–C2 (меняется сложность входа).</w:t>
      </w:r>
      <w:r>
        <w:t xml:space="preserve"> </w:t>
      </w:r>
      <w:r>
        <w:t xml:space="preserve">- Цели: ускорение практики, подготовка к экзаменам, проектные форматы.</w:t>
      </w:r>
    </w:p>
    <w:bookmarkEnd w:id="52"/>
    <w:bookmarkStart w:id="53" w:name="смешанное-обучение-blended-learning"/>
    <w:p>
      <w:pPr>
        <w:pStyle w:val="Heading3"/>
      </w:pPr>
      <w:r>
        <w:t xml:space="preserve">Смешанное обучение (Blended learning)</w:t>
      </w:r>
    </w:p>
    <w:p>
      <w:pPr>
        <w:pStyle w:val="FirstParagraph"/>
      </w:pPr>
      <w:r>
        <w:rPr>
          <w:b/>
          <w:bCs/>
        </w:rPr>
        <w:t xml:space="preserve">Суть и практики.</w:t>
      </w:r>
      <w:r>
        <w:t xml:space="preserve"> </w:t>
      </w:r>
      <w:r>
        <w:t xml:space="preserve">Системное распределение функций между онлайн и очным компонентом (онлайн не “дублирует”, а усиливает офлайн): тренажёры, LMS‑квизы, проекты, синхронные сессии, аналитика обучения.</w:t>
      </w:r>
    </w:p>
    <w:p>
      <w:pPr>
        <w:pStyle w:val="BodyText"/>
      </w:pPr>
      <w:r>
        <w:rPr>
          <w:b/>
          <w:bCs/>
        </w:rPr>
        <w:t xml:space="preserve">Эмпирика.</w:t>
      </w:r>
      <w:r>
        <w:t xml:space="preserve"> </w:t>
      </w:r>
      <w:r>
        <w:t xml:space="preserve">В широкой образовательной литературе для blended/online/FC часто наблюдается умеренный выигрыш в достижениях (например,</w:t>
      </w:r>
      <w:r>
        <w:t xml:space="preserve"> </w:t>
      </w:r>
      <w:r>
        <w:rPr>
          <w:i/>
          <w:iCs/>
        </w:rPr>
        <w:t xml:space="preserve">g ≈ 0.44</w:t>
      </w:r>
      <w:r>
        <w:t xml:space="preserve"> </w:t>
      </w:r>
      <w:r>
        <w:t xml:space="preserve">в пользу совокупности подходов против чисто очного обучения), хотя эффекты зависят от дисциплины и дизайна.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  <w:r>
        <w:br/>
      </w:r>
      <w:r>
        <w:t xml:space="preserve">В языковом образовании метаанализы по technology‑supported language learning сообщают крупные средние эффекты (например,</w:t>
      </w:r>
      <w:r>
        <w:t xml:space="preserve"> </w:t>
      </w:r>
      <w:r>
        <w:rPr>
          <w:i/>
          <w:iCs/>
        </w:rPr>
        <w:t xml:space="preserve">+1.12</w:t>
      </w:r>
      <w:r>
        <w:t xml:space="preserve">), что указывает на потенциал технологий при качественной педагогической интеграции.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Сильные стороны.</w:t>
      </w:r>
      <w:r>
        <w:t xml:space="preserve"> </w:t>
      </w:r>
      <w:r>
        <w:t xml:space="preserve">Персонализация, увеличение объёма практики, отслеживание прогресса, гибкость.</w:t>
      </w:r>
      <w:r>
        <w:t xml:space="preserve"> </w:t>
      </w:r>
      <w:hyperlink r:id="rId24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Риск “технологического шума”: множество инструментов без общей логики; нагрузка на преподавателя; вопросы качества тестов и академической честности.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Практически всем уровням; особенно полезно при больших группах (масштабирование тренажёров).</w:t>
      </w:r>
      <w:r>
        <w:t xml:space="preserve"> </w:t>
      </w:r>
      <w:r>
        <w:t xml:space="preserve">- Цели: устойчивый прогресс, автономность, экзамены, корпоративное обучение.</w:t>
      </w:r>
    </w:p>
    <w:bookmarkEnd w:id="53"/>
    <w:bookmarkStart w:id="61" w:name="X3f70a6d366fe1a8bc8e25aac5a25d103af9a2a7"/>
    <w:p>
      <w:pPr>
        <w:pStyle w:val="Heading3"/>
      </w:pPr>
      <w:r>
        <w:t xml:space="preserve">ИИ‑поддержка и тьюторинг (AI‑assisted tutoring)</w:t>
      </w:r>
    </w:p>
    <w:p>
      <w:pPr>
        <w:pStyle w:val="FirstParagraph"/>
      </w:pPr>
      <w:r>
        <w:rPr>
          <w:b/>
          <w:bCs/>
        </w:rPr>
        <w:t xml:space="preserve">Составляющие и доказательная поддержка (разного уровня “зрелости”):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Интеллектуальные обучающие системы (ITS)</w:t>
      </w:r>
      <w:r>
        <w:t xml:space="preserve">: вне языковой специфики метааналитически оцениваются как заметно улучшающие результаты (медианный эффект около</w:t>
      </w:r>
      <w:r>
        <w:t xml:space="preserve"> </w:t>
      </w:r>
      <w:r>
        <w:rPr>
          <w:i/>
          <w:iCs/>
        </w:rPr>
        <w:t xml:space="preserve">0.66 SD</w:t>
      </w:r>
      <w:r>
        <w:t xml:space="preserve"> </w:t>
      </w:r>
      <w:r>
        <w:t xml:space="preserve">в сравнении с традиционным обучением).</w:t>
      </w:r>
      <w:r>
        <w:t xml:space="preserve"> </w:t>
      </w:r>
      <w:hyperlink r:id="rId54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Это оправдывает инвестиции в адаптивные тренажёры и мастер‑практику.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Автоматизированная обратная связь по письму (AWE / automated feedback)</w:t>
      </w:r>
      <w:r>
        <w:t xml:space="preserve">: в метаанализах по письму наблюдается средний эффект автоматизированной обратной связи (например,</w:t>
      </w:r>
      <w:r>
        <w:t xml:space="preserve"> </w:t>
      </w:r>
      <w:r>
        <w:rPr>
          <w:i/>
          <w:iCs/>
        </w:rPr>
        <w:t xml:space="preserve">g ≈ 0.55</w:t>
      </w:r>
      <w:r>
        <w:t xml:space="preserve">), при высокой гетерогенности.</w:t>
      </w:r>
      <w:r>
        <w:t xml:space="preserve"> </w:t>
      </w:r>
      <w:hyperlink r:id="rId5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В исследованиях AWE сообщаются и более крупные суммарные эффекты на качество письма (например,</w:t>
      </w:r>
      <w:r>
        <w:t xml:space="preserve"> </w:t>
      </w:r>
      <w:r>
        <w:rPr>
          <w:i/>
          <w:iCs/>
        </w:rPr>
        <w:t xml:space="preserve">g ≈ 0.861</w:t>
      </w:r>
      <w:r>
        <w:t xml:space="preserve"> </w:t>
      </w:r>
      <w:r>
        <w:t xml:space="preserve">в одном из обзоров).</w:t>
      </w:r>
      <w:r>
        <w:t xml:space="preserve"> </w:t>
      </w:r>
      <w:hyperlink r:id="rId56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ASR для произношения</w:t>
      </w:r>
      <w:r>
        <w:t xml:space="preserve">: метаанализ по ESL/EFL произношению даёт средний эффект</w:t>
      </w:r>
      <w:r>
        <w:t xml:space="preserve"> </w:t>
      </w:r>
      <w:r>
        <w:rPr>
          <w:i/>
          <w:iCs/>
        </w:rPr>
        <w:t xml:space="preserve">g ≈ 0.69</w:t>
      </w:r>
      <w:r>
        <w:t xml:space="preserve"> </w:t>
      </w:r>
      <w:r>
        <w:t xml:space="preserve">и указывает на важность явной корректирующей обратной связи.</w:t>
      </w:r>
      <w:r>
        <w:t xml:space="preserve"> </w:t>
      </w:r>
      <w:hyperlink r:id="rId57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Чат‑боты/диалоговые агенты</w:t>
      </w:r>
      <w:r>
        <w:t xml:space="preserve">: для L2 метаанализ сравнительных исследований показывает средний эффект (например,</w:t>
      </w:r>
      <w:r>
        <w:t xml:space="preserve"> </w:t>
      </w:r>
      <w:r>
        <w:rPr>
          <w:i/>
          <w:iCs/>
        </w:rPr>
        <w:t xml:space="preserve">g ≈ 0.608</w:t>
      </w:r>
      <w:r>
        <w:t xml:space="preserve">), при модераторах (мобильность доступа, модальность, тип сравнения, участие генеративного ИИ).</w:t>
      </w:r>
      <w:r>
        <w:t xml:space="preserve"> </w:t>
      </w:r>
      <w:hyperlink r:id="rId5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В русскоязычных методических обзорах подчёркиваются перспективы чат‑ботов и типовые исследовательские вопросы (отношение учащихся, сценарии взаимодействия, дизайн заданий).</w:t>
      </w:r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Ключевые ограничения.</w:t>
      </w:r>
      <w:r>
        <w:t xml:space="preserve"> </w:t>
      </w:r>
      <w:r>
        <w:t xml:space="preserve">Высокий риск “иллюзии знания” и поверхностного освоения при некритичном использовании генеративных систем; поэтому нужны протоколы: проверка фактов, требования к объяснениям, логирование подсказок, этика.</w:t>
      </w:r>
      <w:r>
        <w:t xml:space="preserve"> </w:t>
      </w:r>
      <w:hyperlink r:id="rId6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Кому подходит.</w:t>
      </w:r>
      <w:r>
        <w:t xml:space="preserve"> </w:t>
      </w:r>
      <w:r>
        <w:t xml:space="preserve">- A1–B2: сильнее эффект на микропрактике (лексика/грамматика/произношение).</w:t>
      </w:r>
      <w:r>
        <w:t xml:space="preserve"> </w:t>
      </w:r>
      <w:r>
        <w:t xml:space="preserve">- B2–C2: сильнее эффект на письме, стиле, аргументации — при сочетании с человеческим фидбэком.</w:t>
      </w:r>
      <w:r>
        <w:t xml:space="preserve"> </w:t>
      </w:r>
      <w:hyperlink r:id="rId55">
        <w:r>
          <w:rPr>
            <w:rStyle w:val="Hyperlink"/>
          </w:rPr>
          <w:t xml:space="preserve">[48]</w:t>
        </w:r>
      </w:hyperlink>
    </w:p>
    <w:bookmarkEnd w:id="61"/>
    <w:bookmarkEnd w:id="62"/>
    <w:bookmarkStart w:id="66" w:name="Xa3dd5f74d2aa695003a20f89b2d8ffceba07301"/>
    <w:p>
      <w:pPr>
        <w:pStyle w:val="Heading2"/>
      </w:pPr>
      <w:r>
        <w:t xml:space="preserve">Эмпирическая картина: размеры эффектов, контексты, ограничения и пробелы</w:t>
      </w:r>
    </w:p>
    <w:bookmarkStart w:id="63" w:name="Xd2a14a3a3d1e605d31b0ad90c04d3a836fc562c"/>
    <w:p>
      <w:pPr>
        <w:pStyle w:val="Heading3"/>
      </w:pPr>
      <w:r>
        <w:t xml:space="preserve">Свод ключевых метааналитических результатов</w:t>
      </w:r>
    </w:p>
    <w:p>
      <w:pPr>
        <w:pStyle w:val="FirstParagraph"/>
      </w:pPr>
      <w:r>
        <w:t xml:space="preserve">Ниже приведены примеры эффектов, которые чаще всего “переносятся” в дизайн методики. Их нельзя механически сравнивать как в одном RCT: разные навыки, инструменты измерения, длительность и контексты. В самой метааналитической традиции L2 подчёркивается чувствительность результатов к решениям кодирования и определений.</w:t>
      </w:r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Формо‑ориентированный инструктаж в целом</w:t>
      </w:r>
      <w:r>
        <w:t xml:space="preserve">: общий крупный эффект</w:t>
      </w:r>
      <w:r>
        <w:t xml:space="preserve"> </w:t>
      </w:r>
      <w:r>
        <w:rPr>
          <w:i/>
          <w:iCs/>
        </w:rPr>
        <w:t xml:space="preserve">g ≈ 1.06</w:t>
      </w:r>
      <w:r>
        <w:t xml:space="preserve"> </w:t>
      </w:r>
      <w:r>
        <w:t xml:space="preserve">(1980–2015), при модераторах (тип измерения, стартовый уровень, интенсивность и др.).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Практический вывод: ядро PDF (явный разбор форм) — не “устаревшее”, а доказательно поддерживаемое, если цели связаны с точностью/анализом.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Корректирующая обратная связь</w:t>
      </w:r>
      <w:r>
        <w:t xml:space="preserve">: в метаанализе общий эффект порядка</w:t>
      </w:r>
      <w:r>
        <w:t xml:space="preserve"> </w:t>
      </w:r>
      <w:r>
        <w:rPr>
          <w:i/>
          <w:iCs/>
        </w:rPr>
        <w:t xml:space="preserve">g ≈ 0.61–0.64</w:t>
      </w:r>
      <w:r>
        <w:t xml:space="preserve"> </w:t>
      </w:r>
      <w:r>
        <w:t xml:space="preserve">после исключения выбросов; эффекты различаются по типам фидбэка (в тексте приводятся средние эффекты для отдельных типов на немедленных тестах).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Практический вывод: методика должна явно задавать</w:t>
      </w:r>
      <w:r>
        <w:t xml:space="preserve"> </w:t>
      </w:r>
      <w:r>
        <w:rPr>
          <w:b/>
          <w:bCs/>
        </w:rPr>
        <w:t xml:space="preserve">протокол обратной связи</w:t>
      </w:r>
      <w:r>
        <w:t xml:space="preserve">, иначе часть потенциального эффекта “теряется”.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TBLT‑программы</w:t>
      </w:r>
      <w:r>
        <w:t xml:space="preserve">: от “сильного”</w:t>
      </w:r>
      <w:r>
        <w:t xml:space="preserve"> </w:t>
      </w:r>
      <w:r>
        <w:rPr>
          <w:i/>
          <w:iCs/>
        </w:rPr>
        <w:t xml:space="preserve">d ≈ 0.93</w:t>
      </w:r>
      <w:r>
        <w:t xml:space="preserve"> </w:t>
      </w:r>
      <w:r>
        <w:t xml:space="preserve">до “умеренного”</w:t>
      </w:r>
      <w:r>
        <w:t xml:space="preserve"> </w:t>
      </w:r>
      <w:r>
        <w:rPr>
          <w:i/>
          <w:iCs/>
        </w:rPr>
        <w:t xml:space="preserve">g ≈ 0.61</w:t>
      </w:r>
      <w:r>
        <w:t xml:space="preserve"> </w:t>
      </w:r>
      <w:r>
        <w:t xml:space="preserve">в переоценках; ключевой источник неопределённости — неодинаковые определения TBLT и качество первичных исследований.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Практический вывод: внедрять не лозунг “TBLT”, а проверяемый дизайн задач + измерение прогресса.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CLIL/EMI‑CLIL</w:t>
      </w:r>
      <w:r>
        <w:t xml:space="preserve">: для языковых результатов у школьников показаны заметные эффекты (</w:t>
      </w:r>
      <w:r>
        <w:rPr>
          <w:i/>
          <w:iCs/>
        </w:rPr>
        <w:t xml:space="preserve">d ≈ 0.73</w:t>
      </w:r>
      <w:r>
        <w:t xml:space="preserve"> </w:t>
      </w:r>
      <w:r>
        <w:t xml:space="preserve">краткосрочно;</w:t>
      </w:r>
      <w:r>
        <w:t xml:space="preserve"> </w:t>
      </w:r>
      <w:r>
        <w:rPr>
          <w:i/>
          <w:iCs/>
        </w:rPr>
        <w:t xml:space="preserve">d ≈ 1.01</w:t>
      </w:r>
      <w:r>
        <w:t xml:space="preserve"> </w:t>
      </w:r>
      <w:r>
        <w:t xml:space="preserve">долгосрочно), но для предметных результатов в отдельном обзоре суммарный эффект может быть незначим и гетерогенен.</w:t>
      </w:r>
      <w:r>
        <w:t xml:space="preserve"> </w:t>
      </w:r>
      <w:hyperlink r:id="rId37">
        <w:r>
          <w:rPr>
            <w:rStyle w:val="Hyperlink"/>
          </w:rPr>
          <w:t xml:space="preserve">[50]</w:t>
        </w:r>
      </w:hyperlink>
      <w:r>
        <w:br/>
      </w:r>
      <w:r>
        <w:t xml:space="preserve">Практический вывод: CLIL требует времени, опоры и постановки двойных целей; иначе “язык выигрывает, предмет — нет”.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Перевёрнутый класс (языковое обучение)</w:t>
      </w:r>
      <w:r>
        <w:t xml:space="preserve">:</w:t>
      </w:r>
      <w:r>
        <w:t xml:space="preserve"> </w:t>
      </w:r>
      <w:r>
        <w:rPr>
          <w:i/>
          <w:iCs/>
        </w:rPr>
        <w:t xml:space="preserve">g ≈ 0.99</w:t>
      </w:r>
      <w:r>
        <w:t xml:space="preserve">, при высокой гетерогенности; это указывает на решающую роль дизайна и контекста.</w:t>
      </w:r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Spaced practice (распределённая практика)</w:t>
      </w:r>
      <w:r>
        <w:t xml:space="preserve">:</w:t>
      </w:r>
      <w:r>
        <w:t xml:space="preserve"> </w:t>
      </w:r>
      <w:r>
        <w:rPr>
          <w:i/>
          <w:iCs/>
        </w:rPr>
        <w:t xml:space="preserve">g ≈ 0.58</w:t>
      </w:r>
      <w:r>
        <w:t xml:space="preserve"> </w:t>
      </w:r>
      <w:r>
        <w:t xml:space="preserve">для немедленного эффекта и</w:t>
      </w:r>
      <w:r>
        <w:t xml:space="preserve"> </w:t>
      </w:r>
      <w:r>
        <w:rPr>
          <w:i/>
          <w:iCs/>
        </w:rPr>
        <w:t xml:space="preserve">g ≈ 0.80</w:t>
      </w:r>
      <w:r>
        <w:t xml:space="preserve"> </w:t>
      </w:r>
      <w:r>
        <w:t xml:space="preserve">для удержания (1+ день), с модераторами (тип активности, сессии, обратная связь).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br/>
      </w:r>
      <w:r>
        <w:t xml:space="preserve">Практический вывод: для тематики PDF (различение типов композитов) интервальные повторения — вероятно один из самых “дешёвых” по усилиям способов резко повысить удержание.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Корпус‑использование для лексики</w:t>
      </w:r>
      <w:r>
        <w:t xml:space="preserve">: средний положительный эффект (например,</w:t>
      </w:r>
      <w:r>
        <w:t xml:space="preserve"> </w:t>
      </w:r>
      <w:r>
        <w:rPr>
          <w:i/>
          <w:iCs/>
        </w:rPr>
        <w:t xml:space="preserve">g ≈ 0.74</w:t>
      </w:r>
      <w:r>
        <w:t xml:space="preserve"> </w:t>
      </w:r>
      <w:r>
        <w:t xml:space="preserve">краткосрочно), что особенно релевантно лексико‑грамматическим темам и академическому словарю.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ASR‑практика произношения</w:t>
      </w:r>
      <w:r>
        <w:t xml:space="preserve">:</w:t>
      </w:r>
      <w:r>
        <w:t xml:space="preserve"> </w:t>
      </w:r>
      <w:r>
        <w:rPr>
          <w:i/>
          <w:iCs/>
        </w:rPr>
        <w:t xml:space="preserve">g ≈ 0.69</w:t>
      </w:r>
      <w:r>
        <w:t xml:space="preserve"> </w:t>
      </w:r>
      <w:r>
        <w:t xml:space="preserve">— важный аргумент в пользу автоматизированной тренировки говорения/фонетики там, где есть соответствующий навык и цель.</w:t>
      </w:r>
      <w:r>
        <w:t xml:space="preserve"> </w:t>
      </w:r>
      <w:hyperlink r:id="rId57">
        <w:r>
          <w:rPr>
            <w:rStyle w:val="Hyperlink"/>
          </w:rPr>
          <w:t xml:space="preserve">[44]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Чат‑боты для L2</w:t>
      </w:r>
      <w:r>
        <w:t xml:space="preserve">:</w:t>
      </w:r>
      <w:r>
        <w:t xml:space="preserve"> </w:t>
      </w:r>
      <w:r>
        <w:rPr>
          <w:i/>
          <w:iCs/>
        </w:rPr>
        <w:t xml:space="preserve">g ≈ 0.608</w:t>
      </w:r>
      <w:r>
        <w:t xml:space="preserve"> </w:t>
      </w:r>
      <w:r>
        <w:t xml:space="preserve">— наличие эффекта подтверждает потенциал, но требуется грамотный сценарий (задачность, проверка качества, безопасность).</w:t>
      </w:r>
      <w:r>
        <w:t xml:space="preserve"> </w:t>
      </w:r>
      <w:hyperlink r:id="rId58">
        <w:r>
          <w:rPr>
            <w:rStyle w:val="Hyperlink"/>
          </w:rPr>
          <w:t xml:space="preserve">[51]</w:t>
        </w:r>
      </w:hyperlink>
    </w:p>
    <w:bookmarkEnd w:id="63"/>
    <w:bookmarkStart w:id="64" w:name="Xd63081c79d87c4d736e2f37e93381ec385252d2"/>
    <w:p>
      <w:pPr>
        <w:pStyle w:val="Heading3"/>
      </w:pPr>
      <w:r>
        <w:t xml:space="preserve">Типичные ограничения исследований и “дыры” в знаниях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Гетерогенность и публикационные искажения.</w:t>
      </w:r>
      <w:r>
        <w:t xml:space="preserve"> </w:t>
      </w:r>
      <w:r>
        <w:t xml:space="preserve">Для многих метаанализов L2 характерны разные тесты (selected response vs свободная продукция), разные вмешательства и короткие длительности; часто отмечаются потенциальные выбросы и ограничения обобщаемости.</w:t>
      </w:r>
      <w:r>
        <w:t xml:space="preserve"> </w:t>
      </w:r>
      <w:hyperlink r:id="rId29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Недостаток долгосрочных измерений.</w:t>
      </w:r>
      <w:r>
        <w:t xml:space="preserve"> </w:t>
      </w:r>
      <w:r>
        <w:t xml:space="preserve">Многие эффекты “сильнее сразу после обучения” и могут снижаться без ретенционных проверок; поэтому важны отложенные пост‑тесты и интервальное повторение.</w:t>
      </w:r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Слабая измеримость “неявного знания” и реальной компетенции.</w:t>
      </w:r>
      <w:r>
        <w:t xml:space="preserve"> </w:t>
      </w:r>
      <w:r>
        <w:t xml:space="preserve">Даже крупные эффекты по тестам не всегда гарантируют перенос на реальное использование; это особенно актуально для методов, ориентированных на анализ и упражнение.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ИИ и генеративные модели: быстрый рост исследований, но мало RCT‑данных.</w:t>
      </w:r>
      <w:r>
        <w:t xml:space="preserve"> </w:t>
      </w:r>
      <w:r>
        <w:t xml:space="preserve">Есть систематические обзоры раннего периода исследований (первый год публикаций по ChatGPT) и методические дискуссии о рисках обратной связи.</w:t>
      </w:r>
      <w:r>
        <w:t xml:space="preserve"> </w:t>
      </w:r>
      <w:hyperlink r:id="rId60">
        <w:r>
          <w:rPr>
            <w:rStyle w:val="Hyperlink"/>
          </w:rPr>
          <w:t xml:space="preserve">[55]</w:t>
        </w:r>
      </w:hyperlink>
    </w:p>
    <w:bookmarkEnd w:id="64"/>
    <w:bookmarkStart w:id="65" w:name="график-сравнения-примеров-эффектов"/>
    <w:p>
      <w:pPr>
        <w:pStyle w:val="Heading3"/>
      </w:pPr>
      <w:r>
        <w:t xml:space="preserve">График сравнения примеров эффектов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title "Примеры метааналитических эффектов (SMD: g/d), для ориентира"</w:t>
      </w:r>
      <w:r>
        <w:br/>
      </w:r>
      <w:r>
        <w:rPr>
          <w:rStyle w:val="VerbatimChar"/>
        </w:rPr>
        <w:t xml:space="preserve">  x-axis ["Инструктаж (формо-ориент.)","Фидбэк (CF)","Spaced practice (immediate)","Spaced practice (retention)","Корпуса→лексика","Flipped (L2)","ASR→произн.","Чат-боты→L2","EMI-CLIL (short)"]</w:t>
      </w:r>
      <w:r>
        <w:br/>
      </w:r>
      <w:r>
        <w:rPr>
          <w:rStyle w:val="VerbatimChar"/>
        </w:rPr>
        <w:t xml:space="preserve">  y-axis "Размер эффекта" 0 --&gt; 1.2</w:t>
      </w:r>
      <w:r>
        <w:br/>
      </w:r>
      <w:r>
        <w:rPr>
          <w:rStyle w:val="VerbatimChar"/>
        </w:rPr>
        <w:t xml:space="preserve">  bar [1.06,0.61,0.58,0.80,0.74,0.99,0.69,0.61,0.73]</w:t>
      </w:r>
    </w:p>
    <w:p>
      <w:pPr>
        <w:pStyle w:val="FirstParagraph"/>
      </w:pPr>
      <w:r>
        <w:t xml:space="preserve">Инструктаж:</w:t>
      </w:r>
      <w:r>
        <w:t xml:space="preserve"> </w:t>
      </w:r>
      <w:r>
        <w:rPr>
          <w:i/>
          <w:iCs/>
        </w:rPr>
        <w:t xml:space="preserve">g=1.06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CF:</w:t>
      </w:r>
      <w:r>
        <w:t xml:space="preserve"> </w:t>
      </w:r>
      <w:r>
        <w:rPr>
          <w:i/>
          <w:iCs/>
        </w:rPr>
        <w:t xml:space="preserve">g≈0.61–0.64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br/>
      </w:r>
      <w:r>
        <w:t xml:space="preserve">Spaced practice:</w:t>
      </w:r>
      <w:r>
        <w:t xml:space="preserve"> </w:t>
      </w:r>
      <w:r>
        <w:rPr>
          <w:i/>
          <w:iCs/>
        </w:rPr>
        <w:t xml:space="preserve">g=0.58 / 0.80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br/>
      </w:r>
      <w:r>
        <w:t xml:space="preserve">Корпуса:</w:t>
      </w:r>
      <w:r>
        <w:t xml:space="preserve"> </w:t>
      </w:r>
      <w:r>
        <w:rPr>
          <w:i/>
          <w:iCs/>
        </w:rPr>
        <w:t xml:space="preserve">g≈0.74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br/>
      </w:r>
      <w:r>
        <w:t xml:space="preserve">Flipped:</w:t>
      </w:r>
      <w:r>
        <w:t xml:space="preserve"> </w:t>
      </w:r>
      <w:r>
        <w:rPr>
          <w:i/>
          <w:iCs/>
        </w:rPr>
        <w:t xml:space="preserve">g≈0.99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  <w:r>
        <w:br/>
      </w:r>
      <w:r>
        <w:t xml:space="preserve">ASR:</w:t>
      </w:r>
      <w:r>
        <w:t xml:space="preserve"> </w:t>
      </w:r>
      <w:r>
        <w:rPr>
          <w:i/>
          <w:iCs/>
        </w:rPr>
        <w:t xml:space="preserve">g≈0.69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[44]</w:t>
        </w:r>
      </w:hyperlink>
      <w:r>
        <w:br/>
      </w:r>
      <w:r>
        <w:t xml:space="preserve">Чат‑боты:</w:t>
      </w:r>
      <w:r>
        <w:t xml:space="preserve"> </w:t>
      </w:r>
      <w:r>
        <w:rPr>
          <w:i/>
          <w:iCs/>
        </w:rPr>
        <w:t xml:space="preserve">g≈0.608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[56]</w:t>
        </w:r>
      </w:hyperlink>
      <w:r>
        <w:br/>
      </w:r>
      <w:r>
        <w:t xml:space="preserve">EMI‑CLIL short:</w:t>
      </w:r>
      <w:r>
        <w:t xml:space="preserve"> </w:t>
      </w:r>
      <w:r>
        <w:rPr>
          <w:i/>
          <w:iCs/>
        </w:rPr>
        <w:t xml:space="preserve">d≈0.73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br/>
      </w:r>
      <w:r>
        <w:t xml:space="preserve">Предупреждение о сопоставимости и о влиянии решений метаанализа см. в критических обзорах.</w:t>
      </w:r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</w:p>
    <w:bookmarkEnd w:id="65"/>
    <w:bookmarkEnd w:id="66"/>
    <w:bookmarkStart w:id="83" w:name="Xb92f75e6202c69b384cdadae5426f363fe6513f"/>
    <w:p>
      <w:pPr>
        <w:pStyle w:val="Heading2"/>
      </w:pPr>
      <w:r>
        <w:t xml:space="preserve">Практические рекомендации по улучшению методики на базе PDF и исследований</w:t>
      </w:r>
    </w:p>
    <w:p>
      <w:pPr>
        <w:pStyle w:val="FirstParagraph"/>
      </w:pPr>
      <w:r>
        <w:t xml:space="preserve">Ниже — конструктор улучшений, ориентированный на сохранение сильного ядра (анализ/перевод) и добавление высокоэффективных компонентов (задачность, интервальность, обратная связь, технологии, прозрачное оценивание).</w:t>
      </w:r>
    </w:p>
    <w:bookmarkStart w:id="67" w:name="проектирование-курса-и-учебной-программы"/>
    <w:p>
      <w:pPr>
        <w:pStyle w:val="Heading3"/>
      </w:pPr>
      <w:r>
        <w:t xml:space="preserve">Проектирование курса и учебной программы</w:t>
      </w:r>
    </w:p>
    <w:p>
      <w:pPr>
        <w:pStyle w:val="FirstParagraph"/>
      </w:pPr>
      <w:r>
        <w:rPr>
          <w:b/>
          <w:bCs/>
        </w:rPr>
        <w:t xml:space="preserve">Опора на дескрипторы и выравнивание целей.</w:t>
      </w:r>
      <w:r>
        <w:t xml:space="preserve"> </w:t>
      </w:r>
      <w:r>
        <w:t xml:space="preserve">Зафиксируйте результаты обучения в формате “can‑do”, затем сопоставьте: (а) темы/контент PDF, (б) виды деятельности, (в) оценивание. Для этой логики удобно использовать рамки типа CEFR (Common European Framework of Reference for Languages)</w:t>
      </w:r>
      <w:hyperlink r:id="rId3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и ACTFL</w:t>
      </w:r>
      <w:hyperlink r:id="rId4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(дескрипторы по видам речевой деятельности).</w:t>
      </w:r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Пример результатов (адаптация под “анализ композитов”):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Распознаёт</w:t>
      </w:r>
      <w:r>
        <w:t xml:space="preserve"> </w:t>
      </w:r>
      <w:r>
        <w:t xml:space="preserve">тип(ы) сложного слова по формальным признакам и контексту.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Восстанавливает</w:t>
      </w:r>
      <w:r>
        <w:t xml:space="preserve"> </w:t>
      </w:r>
      <w:r>
        <w:t xml:space="preserve">отношения компонентов (парафраз/развёртывание) и объясняет выбор.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Предлагает</w:t>
      </w:r>
      <w:r>
        <w:t xml:space="preserve"> </w:t>
      </w:r>
      <w:r>
        <w:t xml:space="preserve">2–3 варианта перевода и аргументирует, какой лучше в данном контексте.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Обнаруживает и исправляет</w:t>
      </w:r>
      <w:r>
        <w:t xml:space="preserve"> </w:t>
      </w:r>
      <w:r>
        <w:t xml:space="preserve">типовые ошибки разбора (case governance, семантические отношения, ложные разбиения) с использованием чек‑листа.</w:t>
      </w:r>
    </w:p>
    <w:p>
      <w:pPr>
        <w:pStyle w:val="BodyText"/>
      </w:pPr>
      <w:r>
        <w:rPr>
          <w:b/>
          <w:bCs/>
        </w:rPr>
        <w:t xml:space="preserve">Спираль и частотность.</w:t>
      </w:r>
      <w:r>
        <w:t xml:space="preserve"> </w:t>
      </w:r>
      <w:r>
        <w:t xml:space="preserve">Если бюджет не ограничен, создайте мини‑корпус учебных текстов (или используйте готовые корпуса) и располагайте примеры/тексты от частотных и прозрачных структур к редким и омонимичным. Эффективность корпусной поддержки для лексики в среднем положительна (например,</w:t>
      </w:r>
      <w:r>
        <w:t xml:space="preserve"> </w:t>
      </w:r>
      <w:r>
        <w:rPr>
          <w:i/>
          <w:iCs/>
        </w:rPr>
        <w:t xml:space="preserve">g≈0.74</w:t>
      </w:r>
      <w:r>
        <w:t xml:space="preserve">), что оправдывает инвестиции в DDL‑инструменты и подготовку материалов.</w:t>
      </w:r>
      <w:r>
        <w:t xml:space="preserve"> </w:t>
      </w:r>
      <w:hyperlink r:id="rId46">
        <w:r>
          <w:rPr>
            <w:rStyle w:val="Hyperlink"/>
          </w:rPr>
          <w:t xml:space="preserve">[60]</w:t>
        </w:r>
      </w:hyperlink>
    </w:p>
    <w:bookmarkEnd w:id="67"/>
    <w:bookmarkStart w:id="68" w:name="Xe69a7f5d6177223089c582346983a9845c7a744"/>
    <w:p>
      <w:pPr>
        <w:pStyle w:val="Heading3"/>
      </w:pPr>
      <w:r>
        <w:t xml:space="preserve">Конструктор урока: “вход → задача → фокус на форме → закрепление → повторение”</w:t>
      </w:r>
    </w:p>
    <w:p>
      <w:pPr>
        <w:pStyle w:val="FirstParagraph"/>
      </w:pPr>
      <w:r>
        <w:t xml:space="preserve">Рекомендуемая архитектура одного учебного цикла (60–90 минут), совместимая с PDF: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Короткий вход (5–10 мин)</w:t>
      </w:r>
      <w:r>
        <w:t xml:space="preserve">: микролекция/карта решений (из PDF) + 2–3 “минимальные пары” примеров, где различие типов композита меняет смысл. (Удобно в перевёрнутом формате).</w:t>
      </w:r>
      <w:r>
        <w:t xml:space="preserve"> </w:t>
      </w:r>
      <w:hyperlink r:id="rId49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Задача (20–30 мин)</w:t>
      </w:r>
      <w:r>
        <w:t xml:space="preserve">: “диагностическая” — группе даётся фрагмент текста с 8–12 композитами; цель — подготовить аннотированный перевод для конкретной аудитории (учебник/словарная карточка/комментарий). Такая постановка придаёт смысл и приближает к TBLT‑логике (продукт + критерии).</w:t>
      </w:r>
      <w:r>
        <w:t xml:space="preserve"> </w:t>
      </w:r>
      <w:hyperlink r:id="rId23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Фокус на форме и обратная связь (10–20 мин)</w:t>
      </w:r>
      <w:r>
        <w:t xml:space="preserve">: разбор 3–5 “самых дорогих” ошибок, метаязыковая точечная коррекция, затем короткая переформулировка/повтор задачи. Эффективность корректирующей обратной связи подтверждается метаанализом (порядка</w:t>
      </w:r>
      <w:r>
        <w:t xml:space="preserve"> </w:t>
      </w:r>
      <w:r>
        <w:rPr>
          <w:i/>
          <w:iCs/>
        </w:rPr>
        <w:t xml:space="preserve">g≈0.61</w:t>
      </w:r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Интервальное закрепление (5–10 мин)</w:t>
      </w:r>
      <w:r>
        <w:t xml:space="preserve">: мини‑квиз на различение типов + 2 “retrieval prompts” на восстановление отношений (без подсказки). Spaced practice и ретенционные проверки дают выраженный вклад в удержание (</w:t>
      </w:r>
      <w:r>
        <w:rPr>
          <w:i/>
          <w:iCs/>
        </w:rPr>
        <w:t xml:space="preserve">g≈0.80</w:t>
      </w:r>
      <w:r>
        <w:t xml:space="preserve"> </w:t>
      </w:r>
      <w:r>
        <w:t xml:space="preserve">для retention).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Домашняя работа (15–25 мин)</w:t>
      </w:r>
      <w:r>
        <w:t xml:space="preserve">: распределённое повторение (SRS), короткое письмо/перевод с автоматизированной проверкой и последующей человеческой выборочной проверкой.</w:t>
      </w:r>
      <w:r>
        <w:t xml:space="preserve"> </w:t>
      </w:r>
      <w:hyperlink r:id="rId55">
        <w:r>
          <w:rPr>
            <w:rStyle w:val="Hyperlink"/>
          </w:rPr>
          <w:t xml:space="preserve">[63]</w:t>
        </w:r>
      </w:hyperlink>
    </w:p>
    <w:bookmarkEnd w:id="68"/>
    <w:bookmarkStart w:id="70" w:name="оценивание-и-контроль-прогресса"/>
    <w:p>
      <w:pPr>
        <w:pStyle w:val="Heading3"/>
      </w:pPr>
      <w:r>
        <w:t xml:space="preserve">Оценивание и контроль прогресса</w:t>
      </w:r>
    </w:p>
    <w:p>
      <w:pPr>
        <w:pStyle w:val="FirstParagraph"/>
      </w:pPr>
      <w:r>
        <w:rPr>
          <w:b/>
          <w:bCs/>
        </w:rPr>
        <w:t xml:space="preserve">Формативное оценивание как “двигатель” прогресса.</w:t>
      </w:r>
      <w:r>
        <w:t xml:space="preserve"> </w:t>
      </w:r>
      <w:r>
        <w:t xml:space="preserve">Современная классическая линия исследований формативного оценивания подчёркивает, что частая качественная обратная связь и вовлечение учащихся в самооценку повышают результаты.</w:t>
      </w:r>
      <w:r>
        <w:t xml:space="preserve"> </w:t>
      </w:r>
      <w:hyperlink r:id="rId69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Для курса “разбор/перевод” полезны 4 инструмента: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Диагностический пред‑тест</w:t>
      </w:r>
      <w:r>
        <w:t xml:space="preserve">: 12–15 композитов в контекстах + 2 задания на перевод; фиксируйте не только правильность, но и</w:t>
      </w:r>
      <w:r>
        <w:t xml:space="preserve"> </w:t>
      </w:r>
      <w:r>
        <w:rPr>
          <w:i/>
          <w:iCs/>
        </w:rPr>
        <w:t xml:space="preserve">обоснование</w:t>
      </w:r>
      <w:r>
        <w:t xml:space="preserve"> </w:t>
      </w:r>
      <w:r>
        <w:t xml:space="preserve">решения.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Ретенционный тест</w:t>
      </w:r>
      <w:r>
        <w:t xml:space="preserve"> </w:t>
      </w:r>
      <w:r>
        <w:t xml:space="preserve">каждые 2 недели: те же типы, новые примеры (проверка переноса и удержания).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Рубрика (analytic rubric)</w:t>
      </w:r>
      <w:r>
        <w:t xml:space="preserve">: (а) распознавание типа, (б) корректность развёртывания отношений, (в) качество перевода (семантика/стиль), (г) аргументация.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Портфолио аннотированных переводов</w:t>
      </w:r>
      <w:r>
        <w:t xml:space="preserve">: продуктовая оценка, хорошо совместима с задачным подходом.</w:t>
      </w:r>
      <w:r>
        <w:t xml:space="preserve"> </w:t>
      </w:r>
      <w:hyperlink r:id="rId23">
        <w:r>
          <w:rPr>
            <w:rStyle w:val="Hyperlink"/>
          </w:rPr>
          <w:t xml:space="preserve">[65]</w:t>
        </w:r>
      </w:hyperlink>
    </w:p>
    <w:bookmarkEnd w:id="70"/>
    <w:bookmarkStart w:id="73" w:name="дифференциация-и-мотивация"/>
    <w:p>
      <w:pPr>
        <w:pStyle w:val="Heading3"/>
      </w:pPr>
      <w:r>
        <w:t xml:space="preserve">Дифференциация и мотивация</w:t>
      </w:r>
    </w:p>
    <w:p>
      <w:pPr>
        <w:pStyle w:val="FirstParagraph"/>
      </w:pPr>
      <w:r>
        <w:rPr>
          <w:b/>
          <w:bCs/>
        </w:rPr>
        <w:t xml:space="preserve">Снижение тревожности, повышение автономии.</w:t>
      </w:r>
      <w:r>
        <w:t xml:space="preserve"> </w:t>
      </w:r>
      <w:r>
        <w:t xml:space="preserve">Метаанализ показывает устойчивую отрицательную связь L2‑тревожности с достижениями (</w:t>
      </w:r>
      <w:r>
        <w:rPr>
          <w:i/>
          <w:iCs/>
        </w:rPr>
        <w:t xml:space="preserve">r≈−0.36</w:t>
      </w:r>
      <w:r>
        <w:t xml:space="preserve">), поэтому дизайн задач должен снижать страх ошибок (прозрачные критерии, право на черновик, работа в парах) и поддерживать автономию.</w:t>
      </w:r>
      <w:r>
        <w:t xml:space="preserve"> </w:t>
      </w:r>
      <w:hyperlink r:id="rId30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Выбор и индивидуальные траектории.</w:t>
      </w:r>
      <w:r>
        <w:t xml:space="preserve"> </w:t>
      </w:r>
      <w:r>
        <w:t xml:space="preserve">В общей психолого‑педагогической базе предоставление выбора связано с улучшениями мотивационных и связанных результатов (метаанализ по “choice”).</w:t>
      </w:r>
      <w:r>
        <w:t xml:space="preserve"> </w:t>
      </w:r>
      <w:hyperlink r:id="rId7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Практически это реализуется как:</w:t>
      </w:r>
      <w:r>
        <w:t xml:space="preserve"> </w:t>
      </w:r>
      <w:r>
        <w:t xml:space="preserve">- выбор текста/жанра (из 3–4 вариантов);</w:t>
      </w:r>
      <w:r>
        <w:t xml:space="preserve"> </w:t>
      </w:r>
      <w:r>
        <w:t xml:space="preserve">- выбор роли в группе (аналитик формы / редактор перевода / составитель глоссария);</w:t>
      </w:r>
      <w:r>
        <w:t xml:space="preserve"> </w:t>
      </w:r>
      <w:r>
        <w:t xml:space="preserve">- выбор уровня поддержки (подсказки‑шаблоны vs “без подсказок”).</w:t>
      </w:r>
    </w:p>
    <w:p>
      <w:pPr>
        <w:pStyle w:val="BodyText"/>
      </w:pPr>
      <w:r>
        <w:rPr>
          <w:b/>
          <w:bCs/>
        </w:rPr>
        <w:t xml:space="preserve">Мотивационные конструкции L2.</w:t>
      </w:r>
      <w:r>
        <w:t xml:space="preserve"> </w:t>
      </w:r>
      <w:r>
        <w:t xml:space="preserve">Метаданные по L2 motivational self system показывают, что компоненты мотивационной системы существенно связаны с усилием/намерением учиться (например, корреляции порядка</w:t>
      </w:r>
      <w:r>
        <w:t xml:space="preserve"> </w:t>
      </w:r>
      <w:r>
        <w:rPr>
          <w:i/>
          <w:iCs/>
        </w:rPr>
        <w:t xml:space="preserve">r≈.61/.38/.41</w:t>
      </w:r>
      <w:r>
        <w:t xml:space="preserve"> </w:t>
      </w:r>
      <w:r>
        <w:t xml:space="preserve">для компонентов в одном из метаанализов).</w:t>
      </w:r>
      <w:r>
        <w:t xml:space="preserve"> </w:t>
      </w:r>
      <w:hyperlink r:id="rId7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Это оправдывает регулярные мини‑рефлексии: “зачем мне это умение” и “какой текст я смогу читать через 8 недель”.</w:t>
      </w:r>
    </w:p>
    <w:bookmarkEnd w:id="73"/>
    <w:bookmarkStart w:id="74" w:name="коррекция-ошибок-протокол-когда-и-как"/>
    <w:p>
      <w:pPr>
        <w:pStyle w:val="Heading3"/>
      </w:pPr>
      <w:r>
        <w:t xml:space="preserve">Коррекция ошибок: протокол “когда и как”</w:t>
      </w:r>
    </w:p>
    <w:p>
      <w:pPr>
        <w:pStyle w:val="FirstParagraph"/>
      </w:pPr>
      <w:r>
        <w:t xml:space="preserve">Предлагайте корректировку как часть системы, а не импровизацию: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Во время задачи</w:t>
      </w:r>
      <w:r>
        <w:t xml:space="preserve">: краткие “recasts”/перефразы для сохранения потока (особенно в устных обсуждениях);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После задачи</w:t>
      </w:r>
      <w:r>
        <w:t xml:space="preserve">: метаязыковая коррекция и объяснение типовых ловушек (особенно у сложных композитов, где ошибка — системная).</w:t>
      </w:r>
      <w:r>
        <w:br/>
      </w:r>
      <w:r>
        <w:t xml:space="preserve">С точки зрения метааналитики, эффект корректирующей обратной связи устойчив, но варьирует по типу и тесту; также в письменной точности метаанализ WCF сообщает умеренный суммарный эффект (например,</w:t>
      </w:r>
      <w:r>
        <w:t xml:space="preserve"> </w:t>
      </w:r>
      <w:r>
        <w:rPr>
          <w:i/>
          <w:iCs/>
        </w:rPr>
        <w:t xml:space="preserve">g≈0.54</w:t>
      </w:r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[69]</w:t>
        </w:r>
      </w:hyperlink>
    </w:p>
    <w:bookmarkEnd w:id="74"/>
    <w:bookmarkStart w:id="76" w:name="X36b1f5e7b1911c513676e1c14203852f0bd9b3c"/>
    <w:p>
      <w:pPr>
        <w:pStyle w:val="Heading3"/>
      </w:pPr>
      <w:r>
        <w:t xml:space="preserve">Материалы: как улучшить PDF без потери его ценности</w:t>
      </w:r>
    </w:p>
    <w:p>
      <w:pPr>
        <w:pStyle w:val="FirstParagraph"/>
      </w:pPr>
      <w:r>
        <w:t xml:space="preserve">Рекомендуемые “надстройки” поверх содержания PDF: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Дерево решений и чек‑листы</w:t>
      </w:r>
      <w:r>
        <w:t xml:space="preserve">: “Если … то …” для распознавания типа композита (в виде одной страницы); это уменьшает когнитивную нагрузку и помогает новичкам.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Градуированные тексты и “extensive reading” компонент.</w:t>
      </w:r>
      <w:r>
        <w:t xml:space="preserve"> </w:t>
      </w:r>
      <w:r>
        <w:t xml:space="preserve">Для чтения в L2 метаанализ extensive reading показывает средний эффект для групповых сравнений (</w:t>
      </w:r>
      <w:r>
        <w:rPr>
          <w:i/>
          <w:iCs/>
        </w:rPr>
        <w:t xml:space="preserve">d≈0.46</w:t>
      </w:r>
      <w:r>
        <w:t xml:space="preserve">) и больший для pre‑post (</w:t>
      </w:r>
      <w:r>
        <w:rPr>
          <w:i/>
          <w:iCs/>
        </w:rPr>
        <w:t xml:space="preserve">d≈0.71</w:t>
      </w:r>
      <w:r>
        <w:t xml:space="preserve">).</w:t>
      </w:r>
      <w:r>
        <w:t xml:space="preserve"> </w:t>
      </w:r>
      <w:hyperlink r:id="rId75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Даже в “классическом” языке можно включить экстенсивное чтение адаптированных фрагментов с минимальной нагрузкой на разбор.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Словарь‑глоссарий и банки примеров</w:t>
      </w:r>
      <w:r>
        <w:t xml:space="preserve">: частотные компоненты композитов, типовые модели, “ложные друзья” анализа.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Интервальные наборы</w:t>
      </w:r>
      <w:r>
        <w:t xml:space="preserve">: превращение каждого типа/подтипа в набор карточек “распознай тип → обоснуй → разверни → переведи”, т.к. spaced practice показывает большой вклад в удержание.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bookmarkEnd w:id="76"/>
    <w:bookmarkStart w:id="78" w:name="X13978893be1dca66b89ea0de37523b0e996bf84"/>
    <w:p>
      <w:pPr>
        <w:pStyle w:val="Heading3"/>
      </w:pPr>
      <w:r>
        <w:t xml:space="preserve">Технологии: конкретные инструменты и сценарии внедрения</w:t>
      </w:r>
    </w:p>
    <w:p>
      <w:pPr>
        <w:pStyle w:val="FirstParagraph"/>
      </w:pPr>
      <w:r>
        <w:t xml:space="preserve">Ниже — практичный стек инструментов (без бюджетных ограничений), с привязкой к исследованиям.</w:t>
      </w:r>
    </w:p>
    <w:p>
      <w:pPr>
        <w:pStyle w:val="BodyText"/>
      </w:pPr>
      <w:r>
        <w:rPr>
          <w:b/>
          <w:bCs/>
        </w:rPr>
        <w:t xml:space="preserve">LMS и аналитика (основа blended).</w:t>
      </w:r>
      <w:r>
        <w:t xml:space="preserve"> </w:t>
      </w:r>
      <w:r>
        <w:t xml:space="preserve">Используйте LMS (Moodle/Canvas‑тип) для: входных квизов, ретенционных тестов, портфолио, аналитики ошибок и посещаемости; эффективность смешанных форм зависит от дизайна и выравнивания онлайн‑офлайн.</w:t>
      </w:r>
      <w:r>
        <w:t xml:space="preserve"> </w:t>
      </w:r>
      <w:hyperlink r:id="rId51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SRS/интервальное повторение.</w:t>
      </w:r>
      <w:r>
        <w:t xml:space="preserve"> </w:t>
      </w:r>
      <w:r>
        <w:t xml:space="preserve">Реализуйте spaced practice через интервальные карточки + еженедельные “cumulative quizzes”; метаанализ по spaced practice показывает значимые эффекты и роль интервалов.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Корпуса и DDL.</w:t>
      </w:r>
      <w:r>
        <w:t xml:space="preserve"> </w:t>
      </w:r>
      <w:r>
        <w:t xml:space="preserve">Подключите корпусный инструмент (Sketch Engine/аналоги) для поиска типовых сочетаний, контекстов и примеров; эффекты корпусного использования для лексики в среднем положительны (</w:t>
      </w:r>
      <w:r>
        <w:rPr>
          <w:i/>
          <w:iCs/>
        </w:rPr>
        <w:t xml:space="preserve">g≈0.74</w:t>
      </w:r>
      <w:r>
        <w:t xml:space="preserve">).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Автоматизированная обратная связь по письму (AWE).</w:t>
      </w:r>
      <w:r>
        <w:t xml:space="preserve"> </w:t>
      </w:r>
      <w:r>
        <w:t xml:space="preserve">Используйте AWE для черновиков переводов/комментариев и микро‑письма (объяснение решения). Автоматизированный фидбэк демонстрирует средний эффект на письмо (</w:t>
      </w:r>
      <w:r>
        <w:rPr>
          <w:i/>
          <w:iCs/>
        </w:rPr>
        <w:t xml:space="preserve">g≈0.55</w:t>
      </w:r>
      <w:r>
        <w:t xml:space="preserve">) и в отдельных обзорах — более крупные суммарные эффекты по качеству письма.</w:t>
      </w:r>
      <w:r>
        <w:t xml:space="preserve"> </w:t>
      </w:r>
      <w:hyperlink r:id="rId55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В русскоязычных обзорах подчёркивается, что автоматическая проверка особенно полезна на ранних этапах для грамматики/лексики, но хуже — для аргументации и организации текста.</w:t>
      </w:r>
      <w:r>
        <w:t xml:space="preserve"> </w:t>
      </w:r>
      <w:hyperlink r:id="rId77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b/>
          <w:bCs/>
        </w:rPr>
        <w:t xml:space="preserve">ASR для произношения.</w:t>
      </w:r>
      <w:r>
        <w:t xml:space="preserve"> </w:t>
      </w:r>
      <w:r>
        <w:t xml:space="preserve">Если в целях курса есть произношение/устная речь, включайте ASR‑практику: метаанализ показывает средний эффект (</w:t>
      </w:r>
      <w:r>
        <w:rPr>
          <w:i/>
          <w:iCs/>
        </w:rPr>
        <w:t xml:space="preserve">g≈0.69</w:t>
      </w:r>
      <w:r>
        <w:t xml:space="preserve">), особенно при явной корректирующей обратной связи.</w:t>
      </w:r>
      <w:r>
        <w:t xml:space="preserve"> </w:t>
      </w:r>
      <w:hyperlink r:id="rId57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Чат‑боты и генеративный ИИ.</w:t>
      </w:r>
      <w:r>
        <w:t xml:space="preserve"> </w:t>
      </w:r>
      <w:r>
        <w:t xml:space="preserve">Встраивайте чат‑ботов как:</w:t>
      </w:r>
      <w:r>
        <w:t xml:space="preserve"> </w:t>
      </w:r>
      <w:r>
        <w:t xml:space="preserve">- “Сократический тьютор”: задаёт вопросы к разбору, не давая сразу ответ;</w:t>
      </w:r>
      <w:r>
        <w:t xml:space="preserve"> </w:t>
      </w:r>
      <w:r>
        <w:t xml:space="preserve">- “Ролевой редактор”: проверяет обоснования и просит доказательства из текста;</w:t>
      </w:r>
      <w:r>
        <w:t xml:space="preserve"> </w:t>
      </w:r>
      <w:r>
        <w:t xml:space="preserve">- “Симулятор устного объяснения”: обучающийся проговаривает анализ, бот задаёт уточнения.</w:t>
      </w:r>
    </w:p>
    <w:p>
      <w:pPr>
        <w:pStyle w:val="BodyText"/>
      </w:pPr>
      <w:r>
        <w:t xml:space="preserve">Эффект чат‑ботов в L2 в метаанализе — средний (</w:t>
      </w:r>
      <w:r>
        <w:rPr>
          <w:i/>
          <w:iCs/>
        </w:rPr>
        <w:t xml:space="preserve">g≈0.608</w:t>
      </w:r>
      <w:r>
        <w:t xml:space="preserve">).</w:t>
      </w:r>
      <w:r>
        <w:t xml:space="preserve"> </w:t>
      </w:r>
      <w:hyperlink r:id="rId5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В российских работах обсуждаются перспективы и проблематика исследований чат‑ботов в методике.</w:t>
      </w:r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  <w:r>
        <w:br/>
      </w:r>
      <w:r>
        <w:t xml:space="preserve">Обязательное ограничение: протоколы качества и рисков (проверка, запрет на “галлюцинации” как источник, логирование подсказок), поскольку ранние обзоры указывают на риски поверхностного обучения и проблемы генеративной обратной связи.</w:t>
      </w:r>
      <w:r>
        <w:t xml:space="preserve"> </w:t>
      </w:r>
      <w:hyperlink r:id="rId60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Пример “безопасного” шаблона промпта для ИИ (как методическая заготовка):</w:t>
      </w:r>
      <w:r>
        <w:br/>
      </w:r>
      <w:r>
        <w:t xml:space="preserve">1) “Задай мне 5 вопросов, чтобы уточнить контекст.”</w:t>
      </w:r>
      <w:r>
        <w:br/>
      </w:r>
      <w:r>
        <w:t xml:space="preserve">2) “Предложи 2 гипотезы о типе конструкции и коротко объясни признаки.”</w:t>
      </w:r>
      <w:r>
        <w:br/>
      </w:r>
      <w:r>
        <w:t xml:space="preserve">3) “Попроси меня доказать выбор ссылкой на форму/контекст.”</w:t>
      </w:r>
      <w:r>
        <w:br/>
      </w:r>
      <w:r>
        <w:t xml:space="preserve">4) “Дай обратную связь к моему обоснованию по рубрике (точность/обоснование/ясность), без выдачи финального ответа, пока я не попрошу.”</w:t>
      </w:r>
    </w:p>
    <w:bookmarkEnd w:id="78"/>
    <w:bookmarkStart w:id="82" w:name="подготовка-преподавателей"/>
    <w:p>
      <w:pPr>
        <w:pStyle w:val="Heading3"/>
      </w:pPr>
      <w:r>
        <w:t xml:space="preserve">Подготовка преподавателей</w:t>
      </w:r>
    </w:p>
    <w:p>
      <w:pPr>
        <w:pStyle w:val="FirstParagraph"/>
      </w:pPr>
      <w:r>
        <w:t xml:space="preserve">Используйте компетентностные рамки для language‑teachers и цифровой компетентности: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European Profiling Grid (EPG)</w:t>
      </w:r>
      <w:hyperlink r:id="rId24">
        <w:r>
          <w:rPr>
            <w:rStyle w:val="Hyperlink"/>
            <w:b/>
            <w:bCs/>
          </w:rPr>
          <w:t xml:space="preserve">[74]</w:t>
        </w:r>
      </w:hyperlink>
      <w:r>
        <w:t xml:space="preserve"> </w:t>
      </w:r>
      <w:r>
        <w:t xml:space="preserve">— описание компетенций преподавателя языков (методика, планирование, оценивание, управление взаимодействием, цифровые средства).</w:t>
      </w:r>
      <w:r>
        <w:t xml:space="preserve"> </w:t>
      </w:r>
      <w:hyperlink r:id="rId79">
        <w:r>
          <w:rPr>
            <w:rStyle w:val="Hyperlink"/>
          </w:rPr>
          <w:t xml:space="preserve">[75]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DigCompEdu</w:t>
      </w:r>
      <w:hyperlink r:id="rId29">
        <w:r>
          <w:rPr>
            <w:rStyle w:val="Hyperlink"/>
            <w:b/>
            <w:bCs/>
          </w:rPr>
          <w:t xml:space="preserve">[76]</w:t>
        </w:r>
      </w:hyperlink>
      <w:r>
        <w:t xml:space="preserve"> </w:t>
      </w:r>
      <w:r>
        <w:t xml:space="preserve">— 22 цифровые компетенции педагога, удобные как матрица обучения команды.</w:t>
      </w:r>
      <w:r>
        <w:t xml:space="preserve"> </w:t>
      </w:r>
      <w:hyperlink r:id="rId80">
        <w:r>
          <w:rPr>
            <w:rStyle w:val="Hyperlink"/>
          </w:rPr>
          <w:t xml:space="preserve">[77]</w:t>
        </w:r>
      </w:hyperlink>
    </w:p>
    <w:p>
      <w:pPr>
        <w:pStyle w:val="Compact"/>
        <w:numPr>
          <w:ilvl w:val="0"/>
          <w:numId w:val="1005"/>
        </w:numPr>
      </w:pPr>
      <w:r>
        <w:t xml:space="preserve">Ресурсная платформа по компетенциям учителя языков от Council of Europe</w:t>
      </w:r>
      <w:hyperlink r:id="rId3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для проектировщиков программ повышения квалификации.</w:t>
      </w:r>
      <w:r>
        <w:t xml:space="preserve"> </w:t>
      </w:r>
      <w:hyperlink r:id="rId81">
        <w:r>
          <w:rPr>
            <w:rStyle w:val="Hyperlink"/>
          </w:rPr>
          <w:t xml:space="preserve">[79]</w:t>
        </w:r>
      </w:hyperlink>
    </w:p>
    <w:p>
      <w:pPr>
        <w:pStyle w:val="FirstParagraph"/>
      </w:pPr>
      <w:r>
        <w:t xml:space="preserve">Минимальный набор модулей PD (6–12 часов каждый):</w:t>
      </w:r>
      <w:r>
        <w:t xml:space="preserve"> </w:t>
      </w:r>
      <w:r>
        <w:t xml:space="preserve">1) Дизайн результатов и “alignment” (CEFR‑логика).</w:t>
      </w:r>
      <w:r>
        <w:t xml:space="preserve"> </w:t>
      </w:r>
      <w:hyperlink r:id="rId25">
        <w:r>
          <w:rPr>
            <w:rStyle w:val="Hyperlink"/>
          </w:rPr>
          <w:t xml:space="preserve">[80]</w:t>
        </w:r>
      </w:hyperlink>
      <w:r>
        <w:br/>
      </w:r>
      <w:r>
        <w:t xml:space="preserve">2) Task design и оценивание задач (TBLT как дизайн, не ярлык).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t xml:space="preserve">3) Протоколы обратной связи и коррекции.</w:t>
      </w:r>
      <w:r>
        <w:t xml:space="preserve"> </w:t>
      </w:r>
      <w:hyperlink r:id="rId29">
        <w:r>
          <w:rPr>
            <w:rStyle w:val="Hyperlink"/>
          </w:rPr>
          <w:t xml:space="preserve">[69]</w:t>
        </w:r>
      </w:hyperlink>
      <w:r>
        <w:br/>
      </w:r>
      <w:r>
        <w:t xml:space="preserve">4) Spaced practice и ретенционные проверки.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br/>
      </w:r>
      <w:r>
        <w:t xml:space="preserve">5) AI‑инструменты: сценарии, риски, академическая честность.</w:t>
      </w:r>
      <w:r>
        <w:t xml:space="preserve"> </w:t>
      </w:r>
      <w:hyperlink r:id="rId60">
        <w:r>
          <w:rPr>
            <w:rStyle w:val="Hyperlink"/>
          </w:rPr>
          <w:t xml:space="preserve">[81]</w:t>
        </w:r>
      </w:hyperlink>
    </w:p>
    <w:bookmarkEnd w:id="82"/>
    <w:bookmarkEnd w:id="83"/>
    <w:bookmarkStart w:id="88" w:name="Xd3fc453694386958e876711bee0e57dcc87ba04"/>
    <w:p>
      <w:pPr>
        <w:pStyle w:val="Heading2"/>
      </w:pPr>
      <w:r>
        <w:t xml:space="preserve">Дорожная карта внедрения, ресурсы, компетенции и метрики</w:t>
      </w:r>
    </w:p>
    <w:bookmarkStart w:id="84" w:name="mermaidсхема-внедрения"/>
    <w:p>
      <w:pPr>
        <w:pStyle w:val="Heading3"/>
      </w:pPr>
      <w:r>
        <w:t xml:space="preserve">Mermaid‑схема внедрения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A[Анализ потребностей и целей] --&gt; B[Определение результатов: can-do + критерии]</w:t>
      </w:r>
      <w:r>
        <w:br/>
      </w:r>
      <w:r>
        <w:rPr>
          <w:rStyle w:val="VerbatimChar"/>
        </w:rPr>
        <w:t xml:space="preserve">  B --&gt; C[Картирование контента PDF на результаты и навыки]</w:t>
      </w:r>
      <w:r>
        <w:br/>
      </w:r>
      <w:r>
        <w:rPr>
          <w:rStyle w:val="VerbatimChar"/>
        </w:rPr>
        <w:t xml:space="preserve">  C --&gt; D[Дизайн урока: задача → фокус на форме → фидбэк → spaced practice]</w:t>
      </w:r>
      <w:r>
        <w:br/>
      </w:r>
      <w:r>
        <w:rPr>
          <w:rStyle w:val="VerbatimChar"/>
        </w:rPr>
        <w:t xml:space="preserve">  D --&gt; E[Подготовка материалов: тексты, рубрики, банки примеров, SRS]</w:t>
      </w:r>
      <w:r>
        <w:br/>
      </w:r>
      <w:r>
        <w:rPr>
          <w:rStyle w:val="VerbatimChar"/>
        </w:rPr>
        <w:t xml:space="preserve">  E --&gt; F[Технологический стек: LMS + аналитика + корпуса + AWE/ASR/чат-боты]</w:t>
      </w:r>
      <w:r>
        <w:br/>
      </w:r>
      <w:r>
        <w:rPr>
          <w:rStyle w:val="VerbatimChar"/>
        </w:rPr>
        <w:t xml:space="preserve">  F --&gt; G[Обучение преподавателей: EPG + DigCompEdu + AI-протоколы]</w:t>
      </w:r>
      <w:r>
        <w:br/>
      </w:r>
      <w:r>
        <w:rPr>
          <w:rStyle w:val="VerbatimChar"/>
        </w:rPr>
        <w:t xml:space="preserve">  G --&gt; H[Пилот 8 недель: сбор данных]</w:t>
      </w:r>
      <w:r>
        <w:br/>
      </w:r>
      <w:r>
        <w:rPr>
          <w:rStyle w:val="VerbatimChar"/>
        </w:rPr>
        <w:t xml:space="preserve">  H --&gt; I[Оценка эффективности: learning + retention + мотивация]</w:t>
      </w:r>
      <w:r>
        <w:br/>
      </w:r>
      <w:r>
        <w:rPr>
          <w:rStyle w:val="VerbatimChar"/>
        </w:rPr>
        <w:t xml:space="preserve">  I --&gt; J[Итерация дизайна и масштабирование]</w:t>
      </w:r>
    </w:p>
    <w:p>
      <w:pPr>
        <w:pStyle w:val="FirstParagraph"/>
      </w:pPr>
      <w:r>
        <w:t xml:space="preserve">Рамки компетенций и цифровой подготовки для этапа G: EPG и DigCompEdu.</w:t>
      </w:r>
      <w:r>
        <w:t xml:space="preserve"> </w:t>
      </w:r>
      <w:hyperlink r:id="rId79">
        <w:r>
          <w:rPr>
            <w:rStyle w:val="Hyperlink"/>
          </w:rPr>
          <w:t xml:space="preserve">[82]</w:t>
        </w:r>
      </w:hyperlink>
    </w:p>
    <w:bookmarkEnd w:id="84"/>
    <w:bookmarkStart w:id="85" w:name="Xe01aa850a989e125dde61d4fa134965a01ffed3"/>
    <w:p>
      <w:pPr>
        <w:pStyle w:val="Heading3"/>
      </w:pPr>
      <w:r>
        <w:t xml:space="preserve">Таймлайн (пример “без ограничений по бюджету”)</w:t>
      </w:r>
    </w:p>
    <w:p>
      <w:pPr>
        <w:pStyle w:val="FirstParagraph"/>
      </w:pPr>
      <w:r>
        <w:rPr>
          <w:b/>
          <w:bCs/>
        </w:rPr>
        <w:t xml:space="preserve">Недели 1–2: Диагностика и проектирование</w:t>
      </w:r>
      <w:r>
        <w:t xml:space="preserve"> </w:t>
      </w:r>
      <w:r>
        <w:t xml:space="preserve">- определить целевую аудиторию (возраст, текущий уровень, цели: чтение/перевод/общение);</w:t>
      </w:r>
      <w:r>
        <w:t xml:space="preserve"> </w:t>
      </w:r>
      <w:r>
        <w:t xml:space="preserve">- сформировать “can‑do” дескрипторы, критерии и рубрики (CEFR/ACTFL‑логика).</w:t>
      </w:r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Недели 3–4: Пересборка материалов</w:t>
      </w:r>
      <w:r>
        <w:t xml:space="preserve"> </w:t>
      </w:r>
      <w:r>
        <w:t xml:space="preserve">- превратить ключевые разделы PDF в “learning objects”: дерево решений, карточки ошибок, примеры;</w:t>
      </w:r>
      <w:r>
        <w:t xml:space="preserve"> </w:t>
      </w:r>
      <w:r>
        <w:t xml:space="preserve">- собрать корпуса/подборки текстов; подготовить глоссарий и частотные списки для лексического компонента.</w:t>
      </w:r>
      <w:r>
        <w:t xml:space="preserve"> </w:t>
      </w:r>
      <w:hyperlink r:id="rId46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rPr>
          <w:b/>
          <w:bCs/>
        </w:rPr>
        <w:t xml:space="preserve">Недели 5–6: Технологическая интеграция</w:t>
      </w:r>
      <w:r>
        <w:t xml:space="preserve"> </w:t>
      </w:r>
      <w:r>
        <w:t xml:space="preserve">- LMS: квизы, ретенционные тесты, портфолио;</w:t>
      </w:r>
      <w:r>
        <w:t xml:space="preserve"> </w:t>
      </w:r>
      <w:r>
        <w:t xml:space="preserve">- SRS расписание повторений (по метаанализу spaced practice);</w:t>
      </w:r>
      <w:r>
        <w:t xml:space="preserve"> </w:t>
      </w:r>
      <w:r>
        <w:t xml:space="preserve">- подключение AWE/ASR/чат‑ботов в строго заданных сценариях.</w:t>
      </w:r>
      <w:r>
        <w:t xml:space="preserve"> </w:t>
      </w:r>
      <w:hyperlink r:id="rId22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rPr>
          <w:b/>
          <w:bCs/>
        </w:rPr>
        <w:t xml:space="preserve">Недели 7–8: Подготовка преподавателей</w:t>
      </w:r>
      <w:r>
        <w:t xml:space="preserve"> </w:t>
      </w:r>
      <w:r>
        <w:t xml:space="preserve">- тренинг по обратной связи, задачности, AI‑протоколам.</w:t>
      </w:r>
      <w:r>
        <w:t xml:space="preserve"> </w:t>
      </w:r>
      <w:hyperlink r:id="rId29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rPr>
          <w:b/>
          <w:bCs/>
        </w:rPr>
        <w:t xml:space="preserve">Недели 9–16: Пилот (8 недель)</w:t>
      </w:r>
      <w:r>
        <w:t xml:space="preserve"> </w:t>
      </w:r>
      <w:r>
        <w:t xml:space="preserve">- проводить курс по новой модели;</w:t>
      </w:r>
      <w:r>
        <w:t xml:space="preserve"> </w:t>
      </w:r>
      <w:r>
        <w:t xml:space="preserve">- собирать данные: тесты, портфолио, лог LMS, опросы тревожности/удовлетворённости.</w:t>
      </w:r>
      <w:r>
        <w:t xml:space="preserve"> </w:t>
      </w:r>
      <w:hyperlink r:id="rId30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Недели 17–20: Аналитика и итерация</w:t>
      </w:r>
      <w:r>
        <w:t xml:space="preserve"> </w:t>
      </w:r>
      <w:r>
        <w:t xml:space="preserve">- анализ приростов и удержания (важно включить delayed posttest).</w:t>
      </w:r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</w:p>
    <w:bookmarkEnd w:id="85"/>
    <w:bookmarkStart w:id="86" w:name="ресурсы"/>
    <w:p>
      <w:pPr>
        <w:pStyle w:val="Heading3"/>
      </w:pPr>
      <w:r>
        <w:t xml:space="preserve">Ресурсы</w:t>
      </w:r>
    </w:p>
    <w:p>
      <w:pPr>
        <w:pStyle w:val="Compact"/>
        <w:numPr>
          <w:ilvl w:val="0"/>
          <w:numId w:val="1006"/>
        </w:numPr>
      </w:pPr>
      <w:r>
        <w:t xml:space="preserve">Методист/дизайнер курса (alignment + оценивание).</w:t>
      </w:r>
    </w:p>
    <w:p>
      <w:pPr>
        <w:pStyle w:val="Compact"/>
        <w:numPr>
          <w:ilvl w:val="0"/>
          <w:numId w:val="1006"/>
        </w:numPr>
      </w:pPr>
      <w:r>
        <w:t xml:space="preserve">Корпус‑специалист/лингвист (частотность, примеры, DDL).</w:t>
      </w:r>
    </w:p>
    <w:p>
      <w:pPr>
        <w:pStyle w:val="Compact"/>
        <w:numPr>
          <w:ilvl w:val="0"/>
          <w:numId w:val="1006"/>
        </w:numPr>
      </w:pPr>
      <w:r>
        <w:t xml:space="preserve">EdTech‑инженер (LMS, интеграции).</w:t>
      </w:r>
    </w:p>
    <w:p>
      <w:pPr>
        <w:pStyle w:val="Compact"/>
        <w:numPr>
          <w:ilvl w:val="0"/>
          <w:numId w:val="1006"/>
        </w:numPr>
      </w:pPr>
      <w:r>
        <w:t xml:space="preserve">Эксперт по оцениванию (валидность тестов, рубрики).</w:t>
      </w:r>
    </w:p>
    <w:p>
      <w:pPr>
        <w:pStyle w:val="Compact"/>
        <w:numPr>
          <w:ilvl w:val="0"/>
          <w:numId w:val="1006"/>
        </w:numPr>
      </w:pPr>
      <w:r>
        <w:t xml:space="preserve">Политика AI и академической честности (шаблоны, логирование, требования).</w:t>
      </w:r>
      <w:r>
        <w:t xml:space="preserve"> </w:t>
      </w:r>
      <w:hyperlink r:id="rId60">
        <w:r>
          <w:rPr>
            <w:rStyle w:val="Hyperlink"/>
          </w:rPr>
          <w:t xml:space="preserve">[55]</w:t>
        </w:r>
      </w:hyperlink>
    </w:p>
    <w:bookmarkEnd w:id="86"/>
    <w:bookmarkStart w:id="87" w:name="метрики-эффективности-минимальный-набор"/>
    <w:p>
      <w:pPr>
        <w:pStyle w:val="Heading3"/>
      </w:pPr>
      <w:r>
        <w:t xml:space="preserve">Метрики эффективности (минимальный набор)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Learning gain (пред‑/пост‑тест)</w:t>
      </w:r>
      <w:r>
        <w:t xml:space="preserve"> </w:t>
      </w:r>
      <w:r>
        <w:t xml:space="preserve">по целевым умениям (распознавание типа, корректность анализа, качество перевода).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(delayed posttest через 2–4 недели).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Качество портфолио</w:t>
      </w:r>
      <w:r>
        <w:t xml:space="preserve"> </w:t>
      </w:r>
      <w:r>
        <w:t xml:space="preserve">(rubric‑оценка).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Аффективные метрики</w:t>
      </w:r>
      <w:r>
        <w:t xml:space="preserve">: тревожность/уверенность/мотивация (с учётом отрицательной связи тревожности и достижения).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Learning analytics</w:t>
      </w:r>
      <w:r>
        <w:t xml:space="preserve">: выполнение пред‑работы (flipped), темпы повторений (SRS), типовые ошибки.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Наблюдение уроков</w:t>
      </w:r>
      <w:r>
        <w:t xml:space="preserve"> </w:t>
      </w:r>
      <w:r>
        <w:t xml:space="preserve">(фидбэк, доля практики, качество задач) по чек‑листу EPG‑логики.</w:t>
      </w:r>
      <w:r>
        <w:t xml:space="preserve"> </w:t>
      </w:r>
      <w:hyperlink r:id="rId79">
        <w:r>
          <w:rPr>
            <w:rStyle w:val="Hyperlink"/>
          </w:rPr>
          <w:t xml:space="preserve">[86]</w:t>
        </w:r>
      </w:hyperlink>
    </w:p>
    <w:bookmarkEnd w:id="87"/>
    <w:bookmarkEnd w:id="88"/>
    <w:bookmarkStart w:id="94" w:name="Xe67ea263983459ad8db746f0fec714d2f88ee78"/>
    <w:p>
      <w:pPr>
        <w:pStyle w:val="Heading2"/>
      </w:pPr>
      <w:r>
        <w:t xml:space="preserve">Сравнительные таблицы, активности по CEFR и пример 8‑недельного силлабуса</w:t>
      </w:r>
    </w:p>
    <w:bookmarkStart w:id="90" w:name="сравнительная-таблица-методик"/>
    <w:p>
      <w:pPr>
        <w:pStyle w:val="Heading3"/>
      </w:pPr>
      <w:r>
        <w:t xml:space="preserve">Сравнительная таблица методик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Что является “двигателем” обучения</w:t>
            </w:r>
          </w:p>
        </w:tc>
        <w:tc>
          <w:tcPr/>
          <w:p>
            <w:pPr>
              <w:pStyle w:val="Compact"/>
            </w:pPr>
            <w:r>
              <w:t xml:space="preserve">Типичные практики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Риски/слабые стороны</w:t>
            </w:r>
          </w:p>
        </w:tc>
        <w:tc>
          <w:tcPr/>
          <w:p>
            <w:pPr>
              <w:pStyle w:val="Compact"/>
            </w:pPr>
            <w:r>
              <w:t xml:space="preserve">Лучшие цели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CLT</w:t>
            </w:r>
          </w:p>
        </w:tc>
        <w:tc>
          <w:tcPr/>
          <w:p>
            <w:pPr>
              <w:pStyle w:val="Compact"/>
            </w:pPr>
            <w:r>
              <w:t xml:space="preserve">смысловой обмен + интеракция</w:t>
            </w:r>
          </w:p>
        </w:tc>
        <w:tc>
          <w:tcPr/>
          <w:p>
            <w:pPr>
              <w:pStyle w:val="Compact"/>
            </w:pPr>
            <w:r>
              <w:t xml:space="preserve">role‑plays, information gap, дискуссии</w:t>
            </w:r>
          </w:p>
        </w:tc>
        <w:tc>
          <w:tcPr/>
          <w:p>
            <w:pPr>
              <w:pStyle w:val="Compact"/>
            </w:pPr>
            <w:r>
              <w:t xml:space="preserve">развивает функциональную коммуникацию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может проседать точность без фидбэка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общение, прагматика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TBLT</w:t>
            </w:r>
          </w:p>
        </w:tc>
        <w:tc>
          <w:tcPr/>
          <w:p>
            <w:pPr>
              <w:pStyle w:val="Compact"/>
            </w:pPr>
            <w:r>
              <w:t xml:space="preserve">задачи с продуктом + фокус на форме</w:t>
            </w:r>
          </w:p>
        </w:tc>
        <w:tc>
          <w:tcPr/>
          <w:p>
            <w:pPr>
              <w:pStyle w:val="Compact"/>
            </w:pPr>
            <w:r>
              <w:t xml:space="preserve">цикл “задача→разбор”</w:t>
            </w:r>
          </w:p>
        </w:tc>
        <w:tc>
          <w:tcPr/>
          <w:p>
            <w:pPr>
              <w:pStyle w:val="Compact"/>
            </w:pPr>
            <w:r>
              <w:t xml:space="preserve">значимые эффекты, но зависят от определения и дизайна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сложный дизайн и оценивание</w:t>
            </w:r>
          </w:p>
        </w:tc>
        <w:tc>
          <w:tcPr/>
          <w:p>
            <w:pPr>
              <w:pStyle w:val="Compact"/>
            </w:pPr>
            <w:r>
              <w:t xml:space="preserve">реальная коммуникация, проф. 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CLIL/EMI-CLIL</w:t>
            </w:r>
          </w:p>
        </w:tc>
        <w:tc>
          <w:tcPr/>
          <w:p>
            <w:pPr>
              <w:pStyle w:val="Compact"/>
            </w:pPr>
            <w:r>
              <w:t xml:space="preserve">предметный контент через язык</w:t>
            </w:r>
          </w:p>
        </w:tc>
        <w:tc>
          <w:tcPr/>
          <w:p>
            <w:pPr>
              <w:pStyle w:val="Compact"/>
            </w:pPr>
            <w:r>
              <w:t xml:space="preserve">scaffolding, визуализация, двойные критерии</w:t>
            </w:r>
          </w:p>
        </w:tc>
        <w:tc>
          <w:tcPr/>
          <w:p>
            <w:pPr>
              <w:pStyle w:val="Compact"/>
            </w:pPr>
            <w:r>
              <w:t xml:space="preserve">заметные языковые эффекты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[88]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контент‑эффекты могут быть незначимы / гетерогенны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[89]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академический язык, билингвальные программы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Grammar‑Translation</w:t>
            </w:r>
          </w:p>
        </w:tc>
        <w:tc>
          <w:tcPr/>
          <w:p>
            <w:pPr>
              <w:pStyle w:val="Compact"/>
            </w:pPr>
            <w:r>
              <w:t xml:space="preserve">явные правила + перевод</w:t>
            </w:r>
          </w:p>
        </w:tc>
        <w:tc>
          <w:tcPr/>
          <w:p>
            <w:pPr>
              <w:pStyle w:val="Compact"/>
            </w:pPr>
            <w:r>
              <w:t xml:space="preserve">анализ форм, перевод текстов</w:t>
            </w:r>
          </w:p>
        </w:tc>
        <w:tc>
          <w:tcPr/>
          <w:p>
            <w:pPr>
              <w:pStyle w:val="Compact"/>
            </w:pPr>
            <w:r>
              <w:t xml:space="preserve">сильный для чтения/точности; совместим с PDF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слабый перенос на устную коммуникацию</w:t>
            </w:r>
          </w:p>
        </w:tc>
        <w:tc>
          <w:tcPr/>
          <w:p>
            <w:pPr>
              <w:pStyle w:val="Compact"/>
            </w:pPr>
            <w:r>
              <w:t xml:space="preserve">чтение/перевод, классические языки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Audio‑lingual</w:t>
            </w:r>
          </w:p>
        </w:tc>
        <w:tc>
          <w:tcPr/>
          <w:p>
            <w:pPr>
              <w:pStyle w:val="Compact"/>
            </w:pPr>
            <w:r>
              <w:t xml:space="preserve">автоматизация паттернов</w:t>
            </w:r>
          </w:p>
        </w:tc>
        <w:tc>
          <w:tcPr/>
          <w:p>
            <w:pPr>
              <w:pStyle w:val="Compact"/>
            </w:pPr>
            <w:r>
              <w:t xml:space="preserve">диалоги, drills</w:t>
            </w:r>
          </w:p>
        </w:tc>
        <w:tc>
          <w:tcPr/>
          <w:p>
            <w:pPr>
              <w:pStyle w:val="Compact"/>
            </w:pPr>
            <w:r>
              <w:t xml:space="preserve">ускоряет автоматизацию микрошаблонов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механистичность без смысла</w:t>
            </w:r>
          </w:p>
        </w:tc>
        <w:tc>
          <w:tcPr/>
          <w:p>
            <w:pPr>
              <w:pStyle w:val="Compact"/>
            </w:pPr>
            <w:r>
              <w:t xml:space="preserve">произношение, базовые формулы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 approach</w:t>
            </w:r>
          </w:p>
        </w:tc>
        <w:tc>
          <w:tcPr/>
          <w:p>
            <w:pPr>
              <w:pStyle w:val="Compact"/>
            </w:pPr>
            <w:r>
              <w:t xml:space="preserve">чанки/коллокации + частотность</w:t>
            </w:r>
          </w:p>
        </w:tc>
        <w:tc>
          <w:tcPr/>
          <w:p>
            <w:pPr>
              <w:pStyle w:val="Compact"/>
            </w:pPr>
            <w:r>
              <w:t xml:space="preserve">noticing, корпуса, глоссарии</w:t>
            </w:r>
          </w:p>
        </w:tc>
        <w:tc>
          <w:tcPr/>
          <w:p>
            <w:pPr>
              <w:pStyle w:val="Compact"/>
            </w:pPr>
            <w:r>
              <w:t xml:space="preserve">поддержан корпусными эффектами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требует грамотного отбора материала</w:t>
            </w:r>
          </w:p>
        </w:tc>
        <w:tc>
          <w:tcPr/>
          <w:p>
            <w:pPr>
              <w:pStyle w:val="Compact"/>
            </w:pPr>
            <w:r>
              <w:t xml:space="preserve">беглость, академическая лексика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Flipped</w:t>
            </w:r>
          </w:p>
        </w:tc>
        <w:tc>
          <w:tcPr/>
          <w:p>
            <w:pPr>
              <w:pStyle w:val="Compact"/>
            </w:pPr>
            <w:r>
              <w:t xml:space="preserve">перенос входа домой, практика в классе</w:t>
            </w:r>
          </w:p>
        </w:tc>
        <w:tc>
          <w:tcPr/>
          <w:p>
            <w:pPr>
              <w:pStyle w:val="Compact"/>
            </w:pPr>
            <w:r>
              <w:t xml:space="preserve">пред‑видео/чтение + задачи на уроке</w:t>
            </w:r>
          </w:p>
        </w:tc>
        <w:tc>
          <w:tcPr/>
          <w:p>
            <w:pPr>
              <w:pStyle w:val="Compact"/>
            </w:pPr>
            <w:r>
              <w:t xml:space="preserve">крупные эффекты в L2, но гетерогенность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требует дисциплины и контроля</w:t>
            </w:r>
          </w:p>
        </w:tc>
        <w:tc>
          <w:tcPr/>
          <w:p>
            <w:pPr>
              <w:pStyle w:val="Compact"/>
            </w:pPr>
            <w:r>
              <w:t xml:space="preserve">экономия времени урока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разделение онлайн/офлайн</w:t>
            </w:r>
          </w:p>
        </w:tc>
        <w:tc>
          <w:tcPr/>
          <w:p>
            <w:pPr>
              <w:pStyle w:val="Compact"/>
            </w:pPr>
            <w:r>
              <w:t xml:space="preserve">LMS, проекты, тренажёры</w:t>
            </w:r>
          </w:p>
        </w:tc>
        <w:tc>
          <w:tcPr/>
          <w:p>
            <w:pPr>
              <w:pStyle w:val="Compact"/>
            </w:pPr>
            <w:r>
              <w:t xml:space="preserve">потенциал умеренно‑положительный в целом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“псевдо‑blended” без дизайна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масштабирование, персонализация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AI‑assisted</w:t>
            </w:r>
          </w:p>
        </w:tc>
        <w:tc>
          <w:tcPr/>
          <w:p>
            <w:pPr>
              <w:pStyle w:val="Compact"/>
            </w:pPr>
            <w:r>
              <w:t xml:space="preserve">адаптивная практика + фидбэк</w:t>
            </w:r>
          </w:p>
        </w:tc>
        <w:tc>
          <w:tcPr/>
          <w:p>
            <w:pPr>
              <w:pStyle w:val="Compact"/>
            </w:pPr>
            <w:r>
              <w:t xml:space="preserve">AWE/ASR/чат‑боты</w:t>
            </w:r>
          </w:p>
        </w:tc>
        <w:tc>
          <w:tcPr/>
          <w:p>
            <w:pPr>
              <w:pStyle w:val="Compact"/>
            </w:pPr>
            <w:r>
              <w:t xml:space="preserve">средние эффекты по направлениям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риски качества и поверхностного знания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персонализация, объём практики</w:t>
            </w:r>
          </w:p>
        </w:tc>
      </w:tr>
    </w:tbl>
    <w:bookmarkEnd w:id="90"/>
    <w:bookmarkStart w:id="91" w:name="X38e33bc5e29a7171815f873079f6071ed80bf62"/>
    <w:p>
      <w:pPr>
        <w:pStyle w:val="Heading3"/>
      </w:pPr>
      <w:r>
        <w:t xml:space="preserve">Рекомендуемые активности по уровням CEFR (A1–C2)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Примеры активностей (универсально)</w:t>
            </w:r>
          </w:p>
        </w:tc>
        <w:tc>
          <w:tcPr/>
          <w:p>
            <w:pPr>
              <w:pStyle w:val="Compact"/>
            </w:pPr>
            <w:r>
              <w:t xml:space="preserve">Как адаптировать под “разбор композитов/перевод”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A1–A2</w:t>
            </w:r>
          </w:p>
        </w:tc>
        <w:tc>
          <w:tcPr/>
          <w:p>
            <w:pPr>
              <w:pStyle w:val="Compact"/>
            </w:pPr>
            <w:r>
              <w:t xml:space="preserve">базовые шаблоны + понятные задачи</w:t>
            </w:r>
          </w:p>
        </w:tc>
        <w:tc>
          <w:tcPr/>
          <w:p>
            <w:pPr>
              <w:pStyle w:val="Compact"/>
            </w:pPr>
            <w:r>
              <w:t xml:space="preserve">диалоги‑шаблоны, микрозадачи, мини‑чтение</w:t>
            </w:r>
          </w:p>
        </w:tc>
        <w:tc>
          <w:tcPr/>
          <w:p>
            <w:pPr>
              <w:pStyle w:val="Compact"/>
            </w:pPr>
            <w:r>
              <w:t xml:space="preserve">различение 2–3 типов конструкций на коротких примерах; перевод с подсказками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расширение репертуара + точность</w:t>
            </w:r>
          </w:p>
        </w:tc>
        <w:tc>
          <w:tcPr/>
          <w:p>
            <w:pPr>
              <w:pStyle w:val="Compact"/>
            </w:pPr>
            <w:r>
              <w:t xml:space="preserve">задачи “объясни/сравни”, структурированное письмо</w:t>
            </w:r>
          </w:p>
        </w:tc>
        <w:tc>
          <w:tcPr/>
          <w:p>
            <w:pPr>
              <w:pStyle w:val="Compact"/>
            </w:pPr>
            <w:r>
              <w:t xml:space="preserve">аннотированный перевод коротких абзацев; объяснение выбора типа по чек‑листу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автоматизация + дискурс</w:t>
            </w:r>
          </w:p>
        </w:tc>
        <w:tc>
          <w:tcPr/>
          <w:p>
            <w:pPr>
              <w:pStyle w:val="Compact"/>
            </w:pPr>
            <w:r>
              <w:t xml:space="preserve">проектные задачи, дебаты, peer review</w:t>
            </w:r>
          </w:p>
        </w:tc>
        <w:tc>
          <w:tcPr/>
          <w:p>
            <w:pPr>
              <w:pStyle w:val="Compact"/>
            </w:pPr>
            <w:r>
              <w:t xml:space="preserve">сравнение двух переводов; выявление семантических потерь; создание глоссария композитов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сложные тексты + стиль</w:t>
            </w:r>
          </w:p>
        </w:tc>
        <w:tc>
          <w:tcPr/>
          <w:p>
            <w:pPr>
              <w:pStyle w:val="Compact"/>
            </w:pPr>
            <w:r>
              <w:t xml:space="preserve">критическое чтение, академическое письмо</w:t>
            </w:r>
          </w:p>
        </w:tc>
        <w:tc>
          <w:tcPr/>
          <w:p>
            <w:pPr>
              <w:pStyle w:val="Compact"/>
            </w:pPr>
            <w:r>
              <w:t xml:space="preserve">перевод с комментарием, где аргументируются решения и альтернативы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экспертные практики</w:t>
            </w:r>
          </w:p>
        </w:tc>
        <w:tc>
          <w:tcPr/>
          <w:p>
            <w:pPr>
              <w:pStyle w:val="Compact"/>
            </w:pPr>
            <w:r>
              <w:t xml:space="preserve">редактура, критика источников, корпус‑анализ</w:t>
            </w:r>
          </w:p>
        </w:tc>
        <w:tc>
          <w:tcPr/>
          <w:p>
            <w:pPr>
              <w:pStyle w:val="Compact"/>
            </w:pPr>
            <w:r>
              <w:t xml:space="preserve">корпусный анализ употреблений конструкции; критическое сопоставление традиций описания</w:t>
            </w:r>
          </w:p>
        </w:tc>
      </w:tr>
    </w:tbl>
    <w:p>
      <w:pPr>
        <w:pStyle w:val="BodyText"/>
      </w:pPr>
      <w:r>
        <w:t xml:space="preserve">Дескрипторная логика “can‑do” и привязка к результатам обучения — по CEFR/ACTFL‑подобной идее.</w:t>
      </w:r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</w:p>
    <w:bookmarkEnd w:id="91"/>
    <w:bookmarkStart w:id="93" w:name="X87ef3eadb790671c77b8591ce7c03b001f8541e"/>
    <w:p>
      <w:pPr>
        <w:pStyle w:val="Heading3"/>
      </w:pPr>
      <w:r>
        <w:t xml:space="preserve">Пример 8‑недельного силлабуса (на базе PDF‑тематики: разбор сложных слов + чтение/перевод)</w:t>
      </w:r>
    </w:p>
    <w:p>
      <w:pPr>
        <w:pStyle w:val="FirstParagraph"/>
      </w:pPr>
      <w:r>
        <w:t xml:space="preserve">Целевая аудитория: взрослые/студенты, средний уровень чтения (условно B1–B2 в части чтения/анализа), цели: уверенный разбор и перевод конструкций + рост скорости и удержания.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Цели (“can‑do”)</w:t>
            </w:r>
          </w:p>
        </w:tc>
        <w:tc>
          <w:tcPr/>
          <w:p>
            <w:pPr>
              <w:pStyle w:val="Compact"/>
            </w:pPr>
            <w:r>
              <w:t xml:space="preserve">Ключевые активности (flipped + урок)</w:t>
            </w:r>
          </w:p>
        </w:tc>
        <w:tc>
          <w:tcPr/>
          <w:p>
            <w:pPr>
              <w:pStyle w:val="Compact"/>
            </w:pPr>
            <w:r>
              <w:t xml:space="preserve">Оценивание/фидбэк</w:t>
            </w:r>
          </w:p>
        </w:tc>
        <w:tc>
          <w:tcPr/>
          <w:p>
            <w:pPr>
              <w:pStyle w:val="Compact"/>
            </w:pPr>
            <w:r>
              <w:t xml:space="preserve">Домашняя работа (spaced)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Диагностика, базовая схема разбора</w:t>
            </w:r>
          </w:p>
        </w:tc>
        <w:tc>
          <w:tcPr/>
          <w:p>
            <w:pPr>
              <w:pStyle w:val="Compact"/>
            </w:pPr>
            <w:r>
              <w:t xml:space="preserve">Flipped: видео/конспект “алгоритм”; Урок: задача “аннотируй 6 композитов”</w:t>
            </w:r>
          </w:p>
        </w:tc>
        <w:tc>
          <w:tcPr/>
          <w:p>
            <w:pPr>
              <w:pStyle w:val="Compact"/>
            </w:pPr>
            <w:r>
              <w:t xml:space="preserve">пред‑тест; объясняющий фидбэк</w:t>
            </w:r>
          </w:p>
        </w:tc>
        <w:tc>
          <w:tcPr/>
          <w:p>
            <w:pPr>
              <w:pStyle w:val="Compact"/>
            </w:pPr>
            <w:r>
              <w:t xml:space="preserve">SRS‑карточки “тип→признак→перевод”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Надёжно распознаёт 2–3 базовых типа</w:t>
            </w:r>
          </w:p>
        </w:tc>
        <w:tc>
          <w:tcPr/>
          <w:p>
            <w:pPr>
              <w:pStyle w:val="Compact"/>
            </w:pPr>
            <w:r>
              <w:t xml:space="preserve">Задача‑соревнование “классифицируй и докажи”; мини‑разбор ошибок</w:t>
            </w:r>
          </w:p>
        </w:tc>
        <w:tc>
          <w:tcPr/>
          <w:p>
            <w:pPr>
              <w:pStyle w:val="Compact"/>
            </w:pPr>
            <w:r>
              <w:t xml:space="preserve">CF‑протокол (в классе)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интервальный квиз + 10 карточек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Делает развёртывание отношений и перевод</w:t>
            </w:r>
          </w:p>
        </w:tc>
        <w:tc>
          <w:tcPr/>
          <w:p>
            <w:pPr>
              <w:pStyle w:val="Compact"/>
            </w:pPr>
            <w:r>
              <w:t xml:space="preserve">Задача: “перевод для учебника” (требуется ясность)</w:t>
            </w:r>
          </w:p>
        </w:tc>
        <w:tc>
          <w:tcPr/>
          <w:p>
            <w:pPr>
              <w:pStyle w:val="Compact"/>
            </w:pPr>
            <w:r>
              <w:t xml:space="preserve">peer review по рубрике</w:t>
            </w:r>
          </w:p>
        </w:tc>
        <w:tc>
          <w:tcPr/>
          <w:p>
            <w:pPr>
              <w:pStyle w:val="Compact"/>
            </w:pPr>
            <w:r>
              <w:t xml:space="preserve">AWE‑черновик комментария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Применяет анализ в связном тексте</w:t>
            </w:r>
          </w:p>
        </w:tc>
        <w:tc>
          <w:tcPr/>
          <w:p>
            <w:pPr>
              <w:pStyle w:val="Compact"/>
            </w:pPr>
            <w:r>
              <w:t xml:space="preserve">Extensive reading мини‑модуль (адаптированный текст)</w:t>
            </w:r>
          </w:p>
        </w:tc>
        <w:tc>
          <w:tcPr/>
          <w:p>
            <w:pPr>
              <w:pStyle w:val="Compact"/>
            </w:pPr>
            <w:r>
              <w:t xml:space="preserve">мини‑ретенционный тест</w:t>
            </w:r>
          </w:p>
        </w:tc>
        <w:tc>
          <w:tcPr/>
          <w:p>
            <w:pPr>
              <w:pStyle w:val="Compact"/>
            </w:pPr>
            <w:r>
              <w:t xml:space="preserve">чтение + словарь; повтор карточек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Различает омонимичные/пограничные случаи</w:t>
            </w:r>
          </w:p>
        </w:tc>
        <w:tc>
          <w:tcPr/>
          <w:p>
            <w:pPr>
              <w:pStyle w:val="Compact"/>
            </w:pPr>
            <w:r>
              <w:t xml:space="preserve">Задача: “два возможных анализа — выбери лучший”</w:t>
            </w:r>
          </w:p>
        </w:tc>
        <w:tc>
          <w:tcPr/>
          <w:p>
            <w:pPr>
              <w:pStyle w:val="Compact"/>
            </w:pPr>
            <w:r>
              <w:t xml:space="preserve">фокус на типовых ловушках</w:t>
            </w:r>
          </w:p>
        </w:tc>
        <w:tc>
          <w:tcPr/>
          <w:p>
            <w:pPr>
              <w:pStyle w:val="Compact"/>
            </w:pPr>
            <w:r>
              <w:t xml:space="preserve">корпус‑поиск 5 контекстов (DDL)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Повышает скорость и точность</w:t>
            </w:r>
          </w:p>
        </w:tc>
        <w:tc>
          <w:tcPr/>
          <w:p>
            <w:pPr>
              <w:pStyle w:val="Compact"/>
            </w:pPr>
            <w:r>
              <w:t xml:space="preserve">Тайм‑задача: “аннотация за 15 мин”; повтор с улучшением</w:t>
            </w:r>
          </w:p>
        </w:tc>
        <w:tc>
          <w:tcPr/>
          <w:p>
            <w:pPr>
              <w:pStyle w:val="Compact"/>
            </w:pPr>
            <w:r>
              <w:t xml:space="preserve">сравнение попыток (growth)</w:t>
            </w:r>
          </w:p>
        </w:tc>
        <w:tc>
          <w:tcPr/>
          <w:p>
            <w:pPr>
              <w:pStyle w:val="Compact"/>
            </w:pPr>
            <w:r>
              <w:t xml:space="preserve">интервальные тесты, расширение банка примеров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Аргументирует переводческие решения</w:t>
            </w:r>
          </w:p>
        </w:tc>
        <w:tc>
          <w:tcPr/>
          <w:p>
            <w:pPr>
              <w:pStyle w:val="Compact"/>
            </w:pPr>
            <w:r>
              <w:t xml:space="preserve">Проект: мини‑комментарий к фрагменту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комбинированный фидбэк (чел.+авто)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[94]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чат‑бот как “сократический проверяющий”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[95]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Демонстрирует перенос и удержание</w:t>
            </w:r>
          </w:p>
        </w:tc>
        <w:tc>
          <w:tcPr/>
          <w:p>
            <w:pPr>
              <w:pStyle w:val="Compact"/>
            </w:pPr>
            <w:r>
              <w:t xml:space="preserve">Итоговая задача: аннотированный перевод нового текста</w:t>
            </w:r>
          </w:p>
        </w:tc>
        <w:tc>
          <w:tcPr/>
          <w:p>
            <w:pPr>
              <w:pStyle w:val="Compact"/>
            </w:pPr>
            <w:r>
              <w:t xml:space="preserve">post‑test + delayed план</w:t>
            </w:r>
          </w:p>
        </w:tc>
        <w:tc>
          <w:tcPr/>
          <w:p>
            <w:pPr>
              <w:pStyle w:val="Compact"/>
            </w:pPr>
            <w:r>
              <w:t xml:space="preserve">план ретенции на 4 недели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</w:tr>
    </w:tbl>
    <w:p>
      <w:pPr>
        <w:pStyle w:val="BodyText"/>
      </w:pPr>
      <w:r>
        <w:t xml:space="preserve">Ключевой принцип силлабуса: удержание обеспечивается интервальностью (</w:t>
      </w:r>
      <w:r>
        <w:rPr>
          <w:i/>
          <w:iCs/>
        </w:rPr>
        <w:t xml:space="preserve">spaced practice</w:t>
      </w:r>
      <w:r>
        <w:t xml:space="preserve">), а качество решения — протоколом фидбэка (CF/WCF) и задачностью.</w:t>
      </w:r>
      <w:r>
        <w:t xml:space="preserve"> </w:t>
      </w:r>
      <w:hyperlink r:id="rId22">
        <w:r>
          <w:rPr>
            <w:rStyle w:val="Hyperlink"/>
          </w:rPr>
          <w:t xml:space="preserve">[96]</w:t>
        </w:r>
      </w:hyperlink>
    </w:p>
    <w:bookmarkEnd w:id="93"/>
    <w:bookmarkEnd w:id="94"/>
    <w:bookmarkEnd w:id="95"/>
    <w:bookmarkEnd w:id="96"/>
    <w:p>
      <w:r>
        <w:pict>
          <v:rect style="width:0;height:1.5pt" o:hralign="center" o:hrstd="t" o:hr="t"/>
        </w:pict>
      </w:r>
    </w:p>
    <w:bookmarkStart w:id="9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https://www.researchgate.net/publication/326330342_Thirty-five_years_of_ISLA_on_form-focused_instruction_A_meta-analysis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https://www.researchgate.net/publication/326330342_Thirty-five_years_of_ISLA_on_form-focused_instruction_A_meta-analysis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hyperlink r:id="rId22">
        <w:r>
          <w:rPr>
            <w:rStyle w:val="Hyperlink"/>
          </w:rPr>
          <w:t xml:space="preserve">[84]</w:t>
        </w:r>
      </w:hyperlink>
      <w:r>
        <w:t xml:space="preserve"> </w:t>
      </w:r>
      <w:hyperlink r:id="rId22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https://www.researchgate.net/publication/358406370_The_Effects_of_Spaced_Practice_on_Second_Language_Learning_A_Meta-Analysis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https://www.researchgate.net/publication/358406370_The_Effects_of_Spaced_Practice_on_Second_Language_Learning_A_Meta-Analysis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[62]</w:t>
        </w:r>
      </w:hyperlink>
      <w:r>
        <w:t xml:space="preserve"> </w:t>
      </w:r>
      <w:hyperlink r:id="rId23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https://eric.ed.gov/?id=EJ1225836</w:t>
      </w:r>
    </w:p>
    <w:p>
      <w:pPr>
        <w:pStyle w:val="BodyText"/>
      </w:pPr>
      <w:hyperlink r:id="rId23">
        <w:r>
          <w:rPr>
            <w:rStyle w:val="Hyperlink"/>
          </w:rPr>
          <w:t xml:space="preserve">https://eric.ed.gov/?id=EJ1225836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hyperlink r:id="rId24">
        <w:r>
          <w:rPr>
            <w:rStyle w:val="Hyperlink"/>
          </w:rPr>
          <w:t xml:space="preserve">[39]</w:t>
        </w:r>
      </w:hyperlink>
      <w:r>
        <w:t xml:space="preserve"> </w:t>
      </w:r>
      <w:hyperlink r:id="rId24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https://www.cambridge.org/core/journals/recall/article/metaanalysis-of-effectiveness-studies-on-computer-technologysupported-language-learning/4C59D3E86376FE1CC3527CF052884B7C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https://www.cambridge.org/core/journals/recall/article/metaanalysis-of-effectiveness-studies-on-computer-technologysupported-language-learning/4C59D3E86376FE1CC3527CF052884B7C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[59]</w:t>
        </w:r>
      </w:hyperlink>
      <w:r>
        <w:t xml:space="preserve"> </w:t>
      </w:r>
      <w:hyperlink r:id="rId25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https://rm.coe.int/common-european-framework-of-reference-for-languages-learning-teaching/16809ea0d4</w:t>
      </w:r>
    </w:p>
    <w:p>
      <w:pPr>
        <w:pStyle w:val="BodyText"/>
      </w:pPr>
      <w:hyperlink r:id="rId25">
        <w:r>
          <w:rPr>
            <w:rStyle w:val="Hyperlink"/>
          </w:rPr>
          <w:t xml:space="preserve">https://rm.coe.int/common-european-framework-of-reference-for-languages-learning-teaching/16809ea0d4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  <w:r>
        <w:t xml:space="preserve"> </w:t>
      </w:r>
      <w:hyperlink r:id="rId29">
        <w:r>
          <w:rPr>
            <w:rStyle w:val="Hyperlink"/>
          </w:rPr>
          <w:t xml:space="preserve">[52]</w:t>
        </w:r>
      </w:hyperlink>
      <w:r>
        <w:t xml:space="preserve"> </w:t>
      </w:r>
      <w:hyperlink r:id="rId29">
        <w:r>
          <w:rPr>
            <w:rStyle w:val="Hyperlink"/>
          </w:rPr>
          <w:t xml:space="preserve">[69]</w:t>
        </w:r>
      </w:hyperlink>
      <w:r>
        <w:t xml:space="preserve"> </w:t>
      </w:r>
      <w:hyperlink r:id="rId29">
        <w:r>
          <w:rPr>
            <w:rStyle w:val="Hyperlink"/>
          </w:rPr>
          <w:t xml:space="preserve">[76]</w:t>
        </w:r>
      </w:hyperlink>
      <w:r>
        <w:t xml:space="preserve"> </w:t>
      </w:r>
      <w:hyperlink r:id="rId29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(PDF) The Effectiveness of Corrective Feedback in SLA: A Meta‐Analysis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https://www.researchgate.net/publication/229940242_The_Effectiveness_of_Corrective_Feedback_in_SLA_A_Meta-Analysis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https://www.cambridge.org/core/journals/studies-in-second-language-acquisition/article/second-language-anxiety-and-achievement/B140169CF7C0BB6F5CE7BB0D1F9CDFA0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https://www.cambridge.org/core/journals/studies-in-second-language-acquisition/article/second-language-anxiety-and-achievement/B140169CF7C0BB6F5CE7BB0D1F9CDFA0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[28]</w:t>
        </w:r>
      </w:hyperlink>
      <w:r>
        <w:t xml:space="preserve"> </w:t>
      </w:r>
      <w:hyperlink r:id="rId33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https://www.cambridge.org/elt/passages2e/teacher/downloads/articles/Richards_Communicative_Language_Teaching_Today.pdf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https://www.cambridge.org/elt/passages2e/teacher/downloads/articles/Richards_Communicative_Language_Teaching_Today.pdf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[33]</w:t>
        </w:r>
      </w:hyperlink>
      <w:r>
        <w:t xml:space="preserve"> </w:t>
      </w:r>
      <w:hyperlink r:id="rId35">
        <w:r>
          <w:rPr>
            <w:rStyle w:val="Hyperlink"/>
          </w:rPr>
          <w:t xml:space="preserve">[49]</w:t>
        </w:r>
      </w:hyperlink>
      <w:r>
        <w:t xml:space="preserve"> </w:t>
      </w:r>
      <w:hyperlink r:id="rId35">
        <w:r>
          <w:rPr>
            <w:rStyle w:val="Hyperlink"/>
          </w:rPr>
          <w:t xml:space="preserve">[57]</w:t>
        </w:r>
      </w:hyperlink>
      <w:r>
        <w:t xml:space="preserve"> </w:t>
      </w:r>
      <w:hyperlink r:id="rId3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https://www.cambridge.org/core/journals/studies-in-second-language-acquisition/article/call-for-cautious-interpretation-of-metaanalytic-reviews/76C39A1C16E34AEA928E69FF89F69E72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https://www.cambridge.org/core/journals/studies-in-second-language-acquisition/article/call-for-cautious-interpretation-of-metaanalytic-reviews/76C39A1C16E34AEA928E69FF89F69E72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[50]</w:t>
        </w:r>
      </w:hyperlink>
      <w:r>
        <w:t xml:space="preserve"> </w:t>
      </w:r>
      <w:hyperlink r:id="rId37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https://files.eric.ed.gov/fulltext/EJ1397295.pdf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https://files.eric.ed.gov/fulltext/EJ1397295.pdf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https://www.sciencedirect.com/science/article/abs/pii/S1747938X2500003X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https://www.sciencedirect.com/science/article/abs/pii/S1747938X2500003X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39">
        <w:r>
          <w:rPr>
            <w:rStyle w:val="Hyperlink"/>
          </w:rPr>
          <w:t xml:space="preserve">[23]</w:t>
        </w:r>
      </w:hyperlink>
      <w:r>
        <w:t xml:space="preserve"> </w:t>
      </w:r>
      <w:hyperlink r:id="rId39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https://edumag.mrsu.ru/content/pdf/21-2/01.pdf</w:t>
      </w:r>
    </w:p>
    <w:p>
      <w:pPr>
        <w:pStyle w:val="BodyText"/>
      </w:pPr>
      <w:hyperlink r:id="rId39">
        <w:r>
          <w:rPr>
            <w:rStyle w:val="Hyperlink"/>
          </w:rPr>
          <w:t xml:space="preserve">https://edumag.mrsu.ru/content/pdf/21-2/01.pdf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https://ia801609.us.archive.org/28/items/ApproachesAndMethodsInLanguageTeaching2ndEditionCambridgeLanguageTeachingLibrary_201610/__Approaches_and_Methods_in_Language_Teaching__2nd_Edition__Cambridge_Language_Teaching_Library_.pdf</w:t>
      </w:r>
    </w:p>
    <w:p>
      <w:pPr>
        <w:pStyle w:val="BodyText"/>
      </w:pPr>
      <w:hyperlink r:id="rId41">
        <w:r>
          <w:rPr>
            <w:rStyle w:val="Hyperlink"/>
          </w:rPr>
          <w:t xml:space="preserve">https://ia801609.us.archive.org/28/items/ApproachesAndMethodsInLanguageTeaching2ndEditionCambridgeLanguageTeachingLibrary_201610/__Approaches_and_Methods_in_Language_Teaching__2nd_Edition__Cambridge_Language_Teaching_Library_.pdf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https://methodsoflanguageteaching.byu.edu/the-audiolingual-method</w:t>
      </w:r>
    </w:p>
    <w:p>
      <w:pPr>
        <w:pStyle w:val="BodyText"/>
      </w:pPr>
      <w:hyperlink r:id="rId43">
        <w:r>
          <w:rPr>
            <w:rStyle w:val="Hyperlink"/>
          </w:rPr>
          <w:t xml:space="preserve">https://methodsoflanguageteaching.byu.edu/the-audiolingual-method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https://books.google.com/books/about/The_Lexical_Approach.html?id=nNRZAAAAMAAJ</w:t>
      </w:r>
    </w:p>
    <w:p>
      <w:pPr>
        <w:pStyle w:val="BodyText"/>
      </w:pPr>
      <w:hyperlink r:id="rId45">
        <w:r>
          <w:rPr>
            <w:rStyle w:val="Hyperlink"/>
          </w:rPr>
          <w:t xml:space="preserve">https://books.google.com/books/about/The_Lexical_Approach.html?id=nNRZAAAAMAAJ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hyperlink r:id="rId46">
        <w:r>
          <w:rPr>
            <w:rStyle w:val="Hyperlink"/>
          </w:rPr>
          <w:t xml:space="preserve">[32]</w:t>
        </w:r>
      </w:hyperlink>
      <w:r>
        <w:t xml:space="preserve"> </w:t>
      </w:r>
      <w:hyperlink r:id="rId46">
        <w:r>
          <w:rPr>
            <w:rStyle w:val="Hyperlink"/>
          </w:rPr>
          <w:t xml:space="preserve">[58]</w:t>
        </w:r>
      </w:hyperlink>
      <w:r>
        <w:t xml:space="preserve"> </w:t>
      </w:r>
      <w:hyperlink r:id="rId46">
        <w:r>
          <w:rPr>
            <w:rStyle w:val="Hyperlink"/>
          </w:rPr>
          <w:t xml:space="preserve">[60]</w:t>
        </w:r>
      </w:hyperlink>
      <w:r>
        <w:t xml:space="preserve"> </w:t>
      </w:r>
      <w:hyperlink r:id="rId46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https://www.semanticscholar.org/paper/The-Effects-of-Corpus-Use-on-Second-Language-A-Lee-Warschauer/257810c9437dd9309a525a3b338ffe65a75fea16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https://www.semanticscholar.org/paper/The-Effects-of-Corpus-Use-on-Second-Language-A-Lee-Warschauer/257810c9437dd9309a525a3b338ffe65a75fea16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https://tohoku.elsevierpure.com/en/publications/how-effective-is-second-language-incidental-vocabulary-learning-a</w:t>
      </w:r>
    </w:p>
    <w:p>
      <w:pPr>
        <w:pStyle w:val="BodyText"/>
      </w:pPr>
      <w:hyperlink r:id="rId47">
        <w:r>
          <w:rPr>
            <w:rStyle w:val="Hyperlink"/>
          </w:rPr>
          <w:t xml:space="preserve">https://tohoku.elsevierpure.com/en/publications/how-effective-is-second-language-incidental-vocabulary-learning-a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[34]</w:t>
        </w:r>
      </w:hyperlink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hyperlink r:id="rId4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https://www.researchgate.net/publication/347837770_The_flipped_classroom_in_second_language_learning_A_meta-analysis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https://www.researchgate.net/publication/347837770_The_flipped_classroom_in_second_language_learning_A_meta-analysis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https://www.sciencedirect.com/science/article/abs/pii/S0883035523000940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https://www.sciencedirect.com/science/article/abs/pii/S0883035523000940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[37]</w:t>
        </w:r>
      </w:hyperlink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hyperlink r:id="rId51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https://www.sciencedirect.com/science/article/pii/S2666557323000204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https://www.sciencedirect.com/science/article/pii/S2666557323000204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https://www.researchgate.net/publication/277636218_Effectiveness_of_Intelligent_Tutoring_Systems_A_Meta-Analytic_Review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https://www.researchgate.net/publication/277636218_Effectiveness_of_Intelligent_Tutoring_Systems_A_Meta-Analytic_Review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[42]</w:t>
        </w:r>
      </w:hyperlink>
      <w:r>
        <w:t xml:space="preserve"> </w:t>
      </w:r>
      <w:hyperlink r:id="rId55">
        <w:r>
          <w:rPr>
            <w:rStyle w:val="Hyperlink"/>
          </w:rPr>
          <w:t xml:space="preserve">[48]</w:t>
        </w:r>
      </w:hyperlink>
      <w:r>
        <w:t xml:space="preserve"> </w:t>
      </w:r>
      <w:hyperlink r:id="rId55">
        <w:r>
          <w:rPr>
            <w:rStyle w:val="Hyperlink"/>
          </w:rPr>
          <w:t xml:space="preserve">[63]</w:t>
        </w:r>
      </w:hyperlink>
      <w:r>
        <w:t xml:space="preserve"> </w:t>
      </w:r>
      <w:hyperlink r:id="rId55">
        <w:r>
          <w:rPr>
            <w:rStyle w:val="Hyperlink"/>
          </w:rPr>
          <w:t xml:space="preserve">[72]</w:t>
        </w:r>
      </w:hyperlink>
      <w:r>
        <w:t xml:space="preserve"> </w:t>
      </w:r>
      <w:hyperlink r:id="rId55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https://pmc.ncbi.nlm.nih.gov/articles/PMC10351274/</w:t>
      </w:r>
    </w:p>
    <w:p>
      <w:pPr>
        <w:pStyle w:val="BodyText"/>
      </w:pPr>
      <w:hyperlink r:id="rId55">
        <w:r>
          <w:rPr>
            <w:rStyle w:val="Hyperlink"/>
          </w:rPr>
          <w:t xml:space="preserve">https://pmc.ncbi.nlm.nih.gov/articles/PMC10351274/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https://journals.sagepub.com/doi/abs/10.1177/07356331221127300</w:t>
      </w:r>
    </w:p>
    <w:p>
      <w:pPr>
        <w:pStyle w:val="BodyText"/>
      </w:pPr>
      <w:hyperlink r:id="rId56">
        <w:r>
          <w:rPr>
            <w:rStyle w:val="Hyperlink"/>
          </w:rPr>
          <w:t xml:space="preserve">https://journals.sagepub.com/doi/abs/10.1177/07356331221127300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https://www.cambridge.org/core/journals/recall/article/effectiveness-of-automatic-speech-recognition-in-eslefl-pronunciation-a-metaanalysis/A915444CF252B61D14961D2FE733822D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https://www.cambridge.org/core/journals/recall/article/effectiveness-of-automatic-speech-recognition-in-eslefl-pronunciation-a-metaanalysis/A915444CF252B61D14961D2FE733822D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[45]</w:t>
        </w:r>
      </w:hyperlink>
      <w:r>
        <w:t xml:space="preserve"> </w:t>
      </w:r>
      <w:hyperlink r:id="rId58">
        <w:r>
          <w:rPr>
            <w:rStyle w:val="Hyperlink"/>
          </w:rPr>
          <w:t xml:space="preserve">[51]</w:t>
        </w:r>
      </w:hyperlink>
      <w:r>
        <w:t xml:space="preserve"> </w:t>
      </w:r>
      <w:hyperlink r:id="rId58">
        <w:r>
          <w:rPr>
            <w:rStyle w:val="Hyperlink"/>
          </w:rPr>
          <w:t xml:space="preserve">[56]</w:t>
        </w:r>
      </w:hyperlink>
      <w:r>
        <w:t xml:space="preserve"> </w:t>
      </w:r>
      <w:hyperlink r:id="rId58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https://www.researchgate.net/publication/390850220_Effectiveness_of_Chatbots_in_Improving_Language_Learning_A_Meta-Analysis_of_Comparative_Studies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https://www.researchgate.net/publication/390850220_Effectiveness_of_Chatbots_in_Improving_Language_Learning_A_Meta-Analysis_of_Comparative_Studies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https://cyberleninka.ru/article/n/chat-boty-v-obuchenii-inostrannomu-yazyku-problematika-sovremennyh-rabot-i-perspektivy-predstoyaschih-issledovaniy</w:t>
      </w:r>
    </w:p>
    <w:p>
      <w:pPr>
        <w:pStyle w:val="BodyText"/>
      </w:pPr>
      <w:hyperlink r:id="rId59">
        <w:r>
          <w:rPr>
            <w:rStyle w:val="Hyperlink"/>
          </w:rPr>
          <w:t xml:space="preserve">https://cyberleninka.ru/article/n/chat-boty-v-obuchenii-inostrannomu-yazyku-problematika-sovremennyh-rabot-i-perspektivy-predstoyaschih-issledovaniy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[47]</w:t>
        </w:r>
      </w:hyperlink>
      <w:r>
        <w:t xml:space="preserve"> </w:t>
      </w:r>
      <w:hyperlink r:id="rId60">
        <w:r>
          <w:rPr>
            <w:rStyle w:val="Hyperlink"/>
          </w:rPr>
          <w:t xml:space="preserve">[55]</w:t>
        </w:r>
      </w:hyperlink>
      <w:r>
        <w:t xml:space="preserve"> </w:t>
      </w:r>
      <w:hyperlink r:id="rId60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https://www.sciencedirect.com/science/article/pii/S2666920X24000699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https://www.sciencedirect.com/science/article/pii/S2666920X24000699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https://assess.ucr.edu/sites/default/files/2019-02/blackwiliam_1998.pdf</w:t>
      </w:r>
    </w:p>
    <w:p>
      <w:pPr>
        <w:pStyle w:val="BodyText"/>
      </w:pPr>
      <w:hyperlink r:id="rId69">
        <w:r>
          <w:rPr>
            <w:rStyle w:val="Hyperlink"/>
          </w:rPr>
          <w:t xml:space="preserve">https://assess.ucr.edu/sites/default/files/2019-02/blackwiliam_1998.pdf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https://selfdeterminationtheory.org/wp-content/uploads/2019/10/2008_PatallCooperRobinson_PsychBulletin.pdf</w:t>
      </w:r>
    </w:p>
    <w:p>
      <w:pPr>
        <w:pStyle w:val="BodyText"/>
      </w:pPr>
      <w:hyperlink r:id="rId71">
        <w:r>
          <w:rPr>
            <w:rStyle w:val="Hyperlink"/>
          </w:rPr>
          <w:t xml:space="preserve">https://selfdeterminationtheory.org/wp-content/uploads/2019/10/2008_PatallCooperRobinson_PsychBulletin.pdf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https://www.researchgate.net/publication/326176155_The_L2_motivational_self_system_A_meta-analysis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https://www.researchgate.net/publication/326176155_The_L2_motivational_self_system_A_meta-analysis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[70]</w:t>
        </w:r>
      </w:hyperlink>
      <w:r>
        <w:t xml:space="preserve"> </w:t>
      </w:r>
      <w:hyperlink r:id="rId75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https://eric.ed.gov/?id=EJ1052150</w:t>
      </w:r>
    </w:p>
    <w:p>
      <w:pPr>
        <w:pStyle w:val="BodyText"/>
      </w:pPr>
      <w:hyperlink r:id="rId75">
        <w:r>
          <w:rPr>
            <w:rStyle w:val="Hyperlink"/>
          </w:rPr>
          <w:t xml:space="preserve">https://eric.ed.gov/?id=EJ1052150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https://cyberleninka.ru/article/n/tehnologicheskie-resheniya-na-baze-iskusstvennogo-intellekta-v-obuchenii-inostrannym-yazykam</w:t>
      </w:r>
    </w:p>
    <w:p>
      <w:pPr>
        <w:pStyle w:val="BodyText"/>
      </w:pPr>
      <w:hyperlink r:id="rId77">
        <w:r>
          <w:rPr>
            <w:rStyle w:val="Hyperlink"/>
          </w:rPr>
          <w:t xml:space="preserve">https://cyberleninka.ru/article/n/tehnologicheskie-resheniya-na-baze-iskusstvennogo-intellekta-v-obuchenii-inostrannym-yazykam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[75]</w:t>
        </w:r>
      </w:hyperlink>
      <w:r>
        <w:t xml:space="preserve"> </w:t>
      </w:r>
      <w:hyperlink r:id="rId79">
        <w:r>
          <w:rPr>
            <w:rStyle w:val="Hyperlink"/>
          </w:rPr>
          <w:t xml:space="preserve">[82]</w:t>
        </w:r>
      </w:hyperlink>
      <w:r>
        <w:t xml:space="preserve"> </w:t>
      </w:r>
      <w:hyperlink r:id="rId79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https://www.eaquals.org/wp-content/uploads/The_EPG_-_PDF_publication_final.pdf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https://www.eaquals.org/wp-content/uploads/The_EPG_-_PDF_publication_final.pdf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https://publications.jrc.ec.europa.eu/repository/bitstream/JRC107466/pdf_digcomedu_a4_final.pdf</w:t>
      </w:r>
    </w:p>
    <w:p>
      <w:pPr>
        <w:pStyle w:val="BodyText"/>
      </w:pPr>
      <w:hyperlink r:id="rId80">
        <w:r>
          <w:rPr>
            <w:rStyle w:val="Hyperlink"/>
          </w:rPr>
          <w:t xml:space="preserve">https://publications.jrc.ec.europa.eu/repository/bitstream/JRC107466/pdf_digcomedu_a4_final.pdf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https://www.coe.int/en/web/education/-/-a-guide-to-teacher-competences-for-languages-in-education-new-resource-website-for-teacher-educators-and-designers-of-teacher-education-programmes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https://www.coe.int/en/web/education/-/-a-guide-to-teacher-competences-for-languages-in-education-new-resource-website-for-teacher-educators-and-designers-of-teacher-education-programmes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https://www.library.brawnblog.com/ALM2.pdf</w:t>
      </w:r>
    </w:p>
    <w:p>
      <w:pPr>
        <w:pStyle w:val="BodyText"/>
      </w:pPr>
      <w:hyperlink r:id="rId89">
        <w:r>
          <w:rPr>
            <w:rStyle w:val="Hyperlink"/>
          </w:rPr>
          <w:t xml:space="preserve">https://www.library.brawnblog.com/ALM2.pdf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https://onlinelibrary.wiley.com/doi/10.1111/modl.12189</w:t>
      </w:r>
    </w:p>
    <w:p>
      <w:pPr>
        <w:pStyle w:val="BodyText"/>
      </w:pPr>
      <w:hyperlink r:id="rId92">
        <w:r>
          <w:rPr>
            <w:rStyle w:val="Hyperlink"/>
          </w:rPr>
          <w:t xml:space="preserve">https://onlinelibrary.wiley.com/doi/10.1111/modl.12189</w:t>
        </w:r>
      </w:hyperlink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assess.ucr.edu/sites/default/files/2019-02/blackwiliam_1998.pdf" TargetMode="External" /><Relationship Type="http://schemas.openxmlformats.org/officeDocument/2006/relationships/hyperlink" Id="rId45" Target="https://books.google.com/books/about/The_Lexical_Approach.html?id=nNRZAAAAMAAJ" TargetMode="External" /><Relationship Type="http://schemas.openxmlformats.org/officeDocument/2006/relationships/hyperlink" Id="rId59" Target="https://cyberleninka.ru/article/n/chat-boty-v-obuchenii-inostrannomu-yazyku-problematika-sovremennyh-rabot-i-perspektivy-predstoyaschih-issledovaniy" TargetMode="External" /><Relationship Type="http://schemas.openxmlformats.org/officeDocument/2006/relationships/hyperlink" Id="rId77" Target="https://cyberleninka.ru/article/n/tehnologicheskie-resheniya-na-baze-iskusstvennogo-intellekta-v-obuchenii-inostrannym-yazykam" TargetMode="External" /><Relationship Type="http://schemas.openxmlformats.org/officeDocument/2006/relationships/hyperlink" Id="rId39" Target="https://edumag.mrsu.ru/content/pdf/21-2/01.pdf" TargetMode="External" /><Relationship Type="http://schemas.openxmlformats.org/officeDocument/2006/relationships/hyperlink" Id="rId75" Target="https://eric.ed.gov/?id=EJ1052150" TargetMode="External" /><Relationship Type="http://schemas.openxmlformats.org/officeDocument/2006/relationships/hyperlink" Id="rId23" Target="https://eric.ed.gov/?id=EJ1225836" TargetMode="External" /><Relationship Type="http://schemas.openxmlformats.org/officeDocument/2006/relationships/hyperlink" Id="rId37" Target="https://files.eric.ed.gov/fulltext/EJ1397295.pdf" TargetMode="External" /><Relationship Type="http://schemas.openxmlformats.org/officeDocument/2006/relationships/hyperlink" Id="rId41" Target="https://ia801609.us.archive.org/28/items/ApproachesAndMethodsInLanguageTeaching2ndEditionCambridgeLanguageTeachingLibrary_201610/__Approaches_and_Methods_in_Language_Teaching__2nd_Edition__Cambridge_Language_Teaching_Library_.pdf" TargetMode="External" /><Relationship Type="http://schemas.openxmlformats.org/officeDocument/2006/relationships/hyperlink" Id="rId56" Target="https://journals.sagepub.com/doi/abs/10.1177/07356331221127300" TargetMode="External" /><Relationship Type="http://schemas.openxmlformats.org/officeDocument/2006/relationships/hyperlink" Id="rId43" Target="https://methodsoflanguageteaching.byu.edu/the-audiolingual-method" TargetMode="External" /><Relationship Type="http://schemas.openxmlformats.org/officeDocument/2006/relationships/hyperlink" Id="rId92" Target="https://onlinelibrary.wiley.com/doi/10.1111/modl.12189" TargetMode="External" /><Relationship Type="http://schemas.openxmlformats.org/officeDocument/2006/relationships/hyperlink" Id="rId55" Target="https://pmc.ncbi.nlm.nih.gov/articles/PMC10351274/" TargetMode="External" /><Relationship Type="http://schemas.openxmlformats.org/officeDocument/2006/relationships/hyperlink" Id="rId80" Target="https://publications.jrc.ec.europa.eu/repository/bitstream/JRC107466/pdf_digcomedu_a4_final.pdf" TargetMode="External" /><Relationship Type="http://schemas.openxmlformats.org/officeDocument/2006/relationships/hyperlink" Id="rId25" Target="https://rm.coe.int/common-european-framework-of-reference-for-languages-learning-teaching/16809ea0d4" TargetMode="External" /><Relationship Type="http://schemas.openxmlformats.org/officeDocument/2006/relationships/hyperlink" Id="rId71" Target="https://selfdeterminationtheory.org/wp-content/uploads/2019/10/2008_PatallCooperRobinson_PsychBulletin.pdf" TargetMode="External" /><Relationship Type="http://schemas.openxmlformats.org/officeDocument/2006/relationships/hyperlink" Id="rId47" Target="https://tohoku.elsevierpure.com/en/publications/how-effective-is-second-language-incidental-vocabulary-learning-a" TargetMode="External" /><Relationship Type="http://schemas.openxmlformats.org/officeDocument/2006/relationships/hyperlink" Id="rId57" Target="https://www.cambridge.org/core/journals/recall/article/effectiveness-of-automatic-speech-recognition-in-eslefl-pronunciation-a-metaanalysis/A915444CF252B61D14961D2FE733822D" TargetMode="External" /><Relationship Type="http://schemas.openxmlformats.org/officeDocument/2006/relationships/hyperlink" Id="rId24" Target="https://www.cambridge.org/core/journals/recall/article/metaanalysis-of-effectiveness-studies-on-computer-technologysupported-language-learning/4C59D3E86376FE1CC3527CF052884B7C" TargetMode="External" /><Relationship Type="http://schemas.openxmlformats.org/officeDocument/2006/relationships/hyperlink" Id="rId35" Target="https://www.cambridge.org/core/journals/studies-in-second-language-acquisition/article/call-for-cautious-interpretation-of-metaanalytic-reviews/76C39A1C16E34AEA928E69FF89F69E72" TargetMode="External" /><Relationship Type="http://schemas.openxmlformats.org/officeDocument/2006/relationships/hyperlink" Id="rId30" Target="https://www.cambridge.org/core/journals/studies-in-second-language-acquisition/article/second-language-anxiety-and-achievement/B140169CF7C0BB6F5CE7BB0D1F9CDFA0" TargetMode="External" /><Relationship Type="http://schemas.openxmlformats.org/officeDocument/2006/relationships/hyperlink" Id="rId33" Target="https://www.cambridge.org/elt/passages2e/teacher/downloads/articles/Richards_Communicative_Language_Teaching_Today.pdf" TargetMode="External" /><Relationship Type="http://schemas.openxmlformats.org/officeDocument/2006/relationships/hyperlink" Id="rId81" Target="https://www.coe.int/en/web/education/-/-a-guide-to-teacher-competences-for-languages-in-education-new-resource-website-for-teacher-educators-and-designers-of-teacher-education-programmes" TargetMode="External" /><Relationship Type="http://schemas.openxmlformats.org/officeDocument/2006/relationships/hyperlink" Id="rId79" Target="https://www.eaquals.org/wp-content/uploads/The_EPG_-_PDF_publication_final.pdf" TargetMode="External" /><Relationship Type="http://schemas.openxmlformats.org/officeDocument/2006/relationships/hyperlink" Id="rId89" Target="https://www.library.brawnblog.com/ALM2.pdf" TargetMode="External" /><Relationship Type="http://schemas.openxmlformats.org/officeDocument/2006/relationships/hyperlink" Id="rId29" Target="https://www.researchgate.net/publication/229940242_The_Effectiveness_of_Corrective_Feedback_in_SLA_A_Meta-Analysis" TargetMode="External" /><Relationship Type="http://schemas.openxmlformats.org/officeDocument/2006/relationships/hyperlink" Id="rId54" Target="https://www.researchgate.net/publication/277636218_Effectiveness_of_Intelligent_Tutoring_Systems_A_Meta-Analytic_Review" TargetMode="External" /><Relationship Type="http://schemas.openxmlformats.org/officeDocument/2006/relationships/hyperlink" Id="rId72" Target="https://www.researchgate.net/publication/326176155_The_L2_motivational_self_system_A_meta-analysis" TargetMode="External" /><Relationship Type="http://schemas.openxmlformats.org/officeDocument/2006/relationships/hyperlink" Id="rId21" Target="https://www.researchgate.net/publication/326330342_Thirty-five_years_of_ISLA_on_form-focused_instruction_A_meta-analysis" TargetMode="External" /><Relationship Type="http://schemas.openxmlformats.org/officeDocument/2006/relationships/hyperlink" Id="rId49" Target="https://www.researchgate.net/publication/347837770_The_flipped_classroom_in_second_language_learning_A_meta-analysis" TargetMode="External" /><Relationship Type="http://schemas.openxmlformats.org/officeDocument/2006/relationships/hyperlink" Id="rId22" Target="https://www.researchgate.net/publication/358406370_The_Effects_of_Spaced_Practice_on_Second_Language_Learning_A_Meta-Analysis" TargetMode="External" /><Relationship Type="http://schemas.openxmlformats.org/officeDocument/2006/relationships/hyperlink" Id="rId58" Target="https://www.researchgate.net/publication/390850220_Effectiveness_of_Chatbots_in_Improving_Language_Learning_A_Meta-Analysis_of_Comparative_Studies" TargetMode="External" /><Relationship Type="http://schemas.openxmlformats.org/officeDocument/2006/relationships/hyperlink" Id="rId50" Target="https://www.sciencedirect.com/science/article/abs/pii/S0883035523000940" TargetMode="External" /><Relationship Type="http://schemas.openxmlformats.org/officeDocument/2006/relationships/hyperlink" Id="rId38" Target="https://www.sciencedirect.com/science/article/abs/pii/S1747938X2500003X" TargetMode="External" /><Relationship Type="http://schemas.openxmlformats.org/officeDocument/2006/relationships/hyperlink" Id="rId51" Target="https://www.sciencedirect.com/science/article/pii/S2666557323000204" TargetMode="External" /><Relationship Type="http://schemas.openxmlformats.org/officeDocument/2006/relationships/hyperlink" Id="rId60" Target="https://www.sciencedirect.com/science/article/pii/S2666920X24000699" TargetMode="External" /><Relationship Type="http://schemas.openxmlformats.org/officeDocument/2006/relationships/hyperlink" Id="rId46" Target="https://www.semanticscholar.org/paper/The-Effects-of-Corpus-Use-on-Second-Language-A-Lee-Warschauer/257810c9437dd9309a525a3b338ffe65a75fea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assess.ucr.edu/sites/default/files/2019-02/blackwiliam_1998.pdf" TargetMode="External" /><Relationship Type="http://schemas.openxmlformats.org/officeDocument/2006/relationships/hyperlink" Id="rId45" Target="https://books.google.com/books/about/The_Lexical_Approach.html?id=nNRZAAAAMAAJ" TargetMode="External" /><Relationship Type="http://schemas.openxmlformats.org/officeDocument/2006/relationships/hyperlink" Id="rId59" Target="https://cyberleninka.ru/article/n/chat-boty-v-obuchenii-inostrannomu-yazyku-problematika-sovremennyh-rabot-i-perspektivy-predstoyaschih-issledovaniy" TargetMode="External" /><Relationship Type="http://schemas.openxmlformats.org/officeDocument/2006/relationships/hyperlink" Id="rId77" Target="https://cyberleninka.ru/article/n/tehnologicheskie-resheniya-na-baze-iskusstvennogo-intellekta-v-obuchenii-inostrannym-yazykam" TargetMode="External" /><Relationship Type="http://schemas.openxmlformats.org/officeDocument/2006/relationships/hyperlink" Id="rId39" Target="https://edumag.mrsu.ru/content/pdf/21-2/01.pdf" TargetMode="External" /><Relationship Type="http://schemas.openxmlformats.org/officeDocument/2006/relationships/hyperlink" Id="rId75" Target="https://eric.ed.gov/?id=EJ1052150" TargetMode="External" /><Relationship Type="http://schemas.openxmlformats.org/officeDocument/2006/relationships/hyperlink" Id="rId23" Target="https://eric.ed.gov/?id=EJ1225836" TargetMode="External" /><Relationship Type="http://schemas.openxmlformats.org/officeDocument/2006/relationships/hyperlink" Id="rId37" Target="https://files.eric.ed.gov/fulltext/EJ1397295.pdf" TargetMode="External" /><Relationship Type="http://schemas.openxmlformats.org/officeDocument/2006/relationships/hyperlink" Id="rId41" Target="https://ia801609.us.archive.org/28/items/ApproachesAndMethodsInLanguageTeaching2ndEditionCambridgeLanguageTeachingLibrary_201610/__Approaches_and_Methods_in_Language_Teaching__2nd_Edition__Cambridge_Language_Teaching_Library_.pdf" TargetMode="External" /><Relationship Type="http://schemas.openxmlformats.org/officeDocument/2006/relationships/hyperlink" Id="rId56" Target="https://journals.sagepub.com/doi/abs/10.1177/07356331221127300" TargetMode="External" /><Relationship Type="http://schemas.openxmlformats.org/officeDocument/2006/relationships/hyperlink" Id="rId43" Target="https://methodsoflanguageteaching.byu.edu/the-audiolingual-method" TargetMode="External" /><Relationship Type="http://schemas.openxmlformats.org/officeDocument/2006/relationships/hyperlink" Id="rId92" Target="https://onlinelibrary.wiley.com/doi/10.1111/modl.12189" TargetMode="External" /><Relationship Type="http://schemas.openxmlformats.org/officeDocument/2006/relationships/hyperlink" Id="rId55" Target="https://pmc.ncbi.nlm.nih.gov/articles/PMC10351274/" TargetMode="External" /><Relationship Type="http://schemas.openxmlformats.org/officeDocument/2006/relationships/hyperlink" Id="rId80" Target="https://publications.jrc.ec.europa.eu/repository/bitstream/JRC107466/pdf_digcomedu_a4_final.pdf" TargetMode="External" /><Relationship Type="http://schemas.openxmlformats.org/officeDocument/2006/relationships/hyperlink" Id="rId25" Target="https://rm.coe.int/common-european-framework-of-reference-for-languages-learning-teaching/16809ea0d4" TargetMode="External" /><Relationship Type="http://schemas.openxmlformats.org/officeDocument/2006/relationships/hyperlink" Id="rId71" Target="https://selfdeterminationtheory.org/wp-content/uploads/2019/10/2008_PatallCooperRobinson_PsychBulletin.pdf" TargetMode="External" /><Relationship Type="http://schemas.openxmlformats.org/officeDocument/2006/relationships/hyperlink" Id="rId47" Target="https://tohoku.elsevierpure.com/en/publications/how-effective-is-second-language-incidental-vocabulary-learning-a" TargetMode="External" /><Relationship Type="http://schemas.openxmlformats.org/officeDocument/2006/relationships/hyperlink" Id="rId57" Target="https://www.cambridge.org/core/journals/recall/article/effectiveness-of-automatic-speech-recognition-in-eslefl-pronunciation-a-metaanalysis/A915444CF252B61D14961D2FE733822D" TargetMode="External" /><Relationship Type="http://schemas.openxmlformats.org/officeDocument/2006/relationships/hyperlink" Id="rId24" Target="https://www.cambridge.org/core/journals/recall/article/metaanalysis-of-effectiveness-studies-on-computer-technologysupported-language-learning/4C59D3E86376FE1CC3527CF052884B7C" TargetMode="External" /><Relationship Type="http://schemas.openxmlformats.org/officeDocument/2006/relationships/hyperlink" Id="rId35" Target="https://www.cambridge.org/core/journals/studies-in-second-language-acquisition/article/call-for-cautious-interpretation-of-metaanalytic-reviews/76C39A1C16E34AEA928E69FF89F69E72" TargetMode="External" /><Relationship Type="http://schemas.openxmlformats.org/officeDocument/2006/relationships/hyperlink" Id="rId30" Target="https://www.cambridge.org/core/journals/studies-in-second-language-acquisition/article/second-language-anxiety-and-achievement/B140169CF7C0BB6F5CE7BB0D1F9CDFA0" TargetMode="External" /><Relationship Type="http://schemas.openxmlformats.org/officeDocument/2006/relationships/hyperlink" Id="rId33" Target="https://www.cambridge.org/elt/passages2e/teacher/downloads/articles/Richards_Communicative_Language_Teaching_Today.pdf" TargetMode="External" /><Relationship Type="http://schemas.openxmlformats.org/officeDocument/2006/relationships/hyperlink" Id="rId81" Target="https://www.coe.int/en/web/education/-/-a-guide-to-teacher-competences-for-languages-in-education-new-resource-website-for-teacher-educators-and-designers-of-teacher-education-programmes" TargetMode="External" /><Relationship Type="http://schemas.openxmlformats.org/officeDocument/2006/relationships/hyperlink" Id="rId79" Target="https://www.eaquals.org/wp-content/uploads/The_EPG_-_PDF_publication_final.pdf" TargetMode="External" /><Relationship Type="http://schemas.openxmlformats.org/officeDocument/2006/relationships/hyperlink" Id="rId89" Target="https://www.library.brawnblog.com/ALM2.pdf" TargetMode="External" /><Relationship Type="http://schemas.openxmlformats.org/officeDocument/2006/relationships/hyperlink" Id="rId29" Target="https://www.researchgate.net/publication/229940242_The_Effectiveness_of_Corrective_Feedback_in_SLA_A_Meta-Analysis" TargetMode="External" /><Relationship Type="http://schemas.openxmlformats.org/officeDocument/2006/relationships/hyperlink" Id="rId54" Target="https://www.researchgate.net/publication/277636218_Effectiveness_of_Intelligent_Tutoring_Systems_A_Meta-Analytic_Review" TargetMode="External" /><Relationship Type="http://schemas.openxmlformats.org/officeDocument/2006/relationships/hyperlink" Id="rId72" Target="https://www.researchgate.net/publication/326176155_The_L2_motivational_self_system_A_meta-analysis" TargetMode="External" /><Relationship Type="http://schemas.openxmlformats.org/officeDocument/2006/relationships/hyperlink" Id="rId21" Target="https://www.researchgate.net/publication/326330342_Thirty-five_years_of_ISLA_on_form-focused_instruction_A_meta-analysis" TargetMode="External" /><Relationship Type="http://schemas.openxmlformats.org/officeDocument/2006/relationships/hyperlink" Id="rId49" Target="https://www.researchgate.net/publication/347837770_The_flipped_classroom_in_second_language_learning_A_meta-analysis" TargetMode="External" /><Relationship Type="http://schemas.openxmlformats.org/officeDocument/2006/relationships/hyperlink" Id="rId22" Target="https://www.researchgate.net/publication/358406370_The_Effects_of_Spaced_Practice_on_Second_Language_Learning_A_Meta-Analysis" TargetMode="External" /><Relationship Type="http://schemas.openxmlformats.org/officeDocument/2006/relationships/hyperlink" Id="rId58" Target="https://www.researchgate.net/publication/390850220_Effectiveness_of_Chatbots_in_Improving_Language_Learning_A_Meta-Analysis_of_Comparative_Studies" TargetMode="External" /><Relationship Type="http://schemas.openxmlformats.org/officeDocument/2006/relationships/hyperlink" Id="rId50" Target="https://www.sciencedirect.com/science/article/abs/pii/S0883035523000940" TargetMode="External" /><Relationship Type="http://schemas.openxmlformats.org/officeDocument/2006/relationships/hyperlink" Id="rId38" Target="https://www.sciencedirect.com/science/article/abs/pii/S1747938X2500003X" TargetMode="External" /><Relationship Type="http://schemas.openxmlformats.org/officeDocument/2006/relationships/hyperlink" Id="rId51" Target="https://www.sciencedirect.com/science/article/pii/S2666557323000204" TargetMode="External" /><Relationship Type="http://schemas.openxmlformats.org/officeDocument/2006/relationships/hyperlink" Id="rId60" Target="https://www.sciencedirect.com/science/article/pii/S2666920X24000699" TargetMode="External" /><Relationship Type="http://schemas.openxmlformats.org/officeDocument/2006/relationships/hyperlink" Id="rId46" Target="https://www.semanticscholar.org/paper/The-Effects-of-Corpus-Use-on-Second-Language-A-Lee-Warschauer/257810c9437dd9309a525a3b338ffe65a75fea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2026-03-24T18:23:06Z</dcterms:created>
  <dcterms:modified xsi:type="dcterms:W3CDTF">2026-03-24T18:23:06Z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