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X23303215fea9ac0ede0fa14ae4f5747227fc9ff"/>
    <w:p>
      <w:pPr>
        <w:pStyle w:val="Heading1"/>
      </w:pPr>
      <w:r>
        <w:t xml:space="preserve">Практические улучшения конспекта по samāsa на базе первой порции файлов</w:t>
      </w:r>
    </w:p>
    <w:bookmarkStart w:id="25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Текущая версия конспекта уже хорошо объясняет классы samāsa и даёт много примеров, но её можно заметно усилить как</w:t>
      </w:r>
      <w:r>
        <w:t xml:space="preserve"> </w:t>
      </w:r>
      <w:r>
        <w:rPr>
          <w:b/>
          <w:bCs/>
        </w:rPr>
        <w:t xml:space="preserve">рабочий инструмент</w:t>
      </w:r>
      <w:r>
        <w:t xml:space="preserve">: добавить “корпусную рамку” (частотность, контексты, коллокации), унифицированные</w:t>
      </w:r>
      <w:r>
        <w:t xml:space="preserve"> </w:t>
      </w:r>
      <w:r>
        <w:rPr>
          <w:b/>
          <w:bCs/>
        </w:rPr>
        <w:t xml:space="preserve">деревья решений/чек‑листы</w:t>
      </w:r>
      <w:r>
        <w:t xml:space="preserve">, а также справочные приложения (указатели, источники, шаблоны vigraha, SRS‑deck). В первой порции файлов есть всё необходимое для “доказательных вставок”: статистика по корпусу из статьи ACL Anthology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(2016), методические “подсказки из Панини” из работы Амба Кулкарни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и Анил Кумар</w:t>
      </w:r>
      <w:hyperlink r:id="rId23">
        <w:r>
          <w:rPr>
            <w:rStyle w:val="Hyperlink"/>
          </w:rPr>
          <w:t xml:space="preserve">[3]</w:t>
        </w:r>
      </w:hyperlink>
      <w:r>
        <w:t xml:space="preserve">, а также ссылки на инструменты University of Hyderabad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для генерации/анализа композитов. Критичная редакторская правка: в разделе</w:t>
      </w:r>
      <w:r>
        <w:t xml:space="preserve"> </w:t>
      </w:r>
      <w:r>
        <w:rPr>
          <w:b/>
          <w:bCs/>
        </w:rPr>
        <w:t xml:space="preserve">upamānapūrvapada‑karmadhāraya</w:t>
      </w:r>
      <w:r>
        <w:t xml:space="preserve"> </w:t>
      </w:r>
      <w:r>
        <w:t xml:space="preserve">у вас стоит ссылка “Pāṇ. 2.1.51 upamānāni sāmānyavacanaiḥ”, но по сутре это</w:t>
      </w:r>
      <w:r>
        <w:t xml:space="preserve"> </w:t>
      </w:r>
      <w:r>
        <w:rPr>
          <w:b/>
          <w:bCs/>
        </w:rPr>
        <w:t xml:space="preserve">2.1.55</w:t>
      </w:r>
      <w:r>
        <w:t xml:space="preserve">; при этом</w:t>
      </w:r>
      <w:r>
        <w:t xml:space="preserve"> </w:t>
      </w:r>
      <w:r>
        <w:rPr>
          <w:b/>
          <w:bCs/>
        </w:rPr>
        <w:t xml:space="preserve">2.1.51</w:t>
      </w:r>
      <w:r>
        <w:t xml:space="preserve"> </w:t>
      </w:r>
      <w:r>
        <w:t xml:space="preserve">уместна и уже правильно используется в dvigu‑контексте.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t xml:space="preserve">Ниже — приоритетный план “что взять из файлов и куда вставить” + готовые вставляемые блоки (дерево решений, чек‑листы, шаблоны примеров/источников/указателей, пример CSV‑строки).</w:t>
      </w:r>
    </w:p>
    <w:bookmarkEnd w:id="25"/>
    <w:bookmarkStart w:id="35" w:name="X0151917cb987f9541a513eaa646ae02307034d3"/>
    <w:p>
      <w:pPr>
        <w:pStyle w:val="Heading2"/>
      </w:pPr>
      <w:r>
        <w:t xml:space="preserve">Приоритетный план вставок по местам в конспекте</w:t>
      </w:r>
    </w:p>
    <w:p>
      <w:pPr>
        <w:pStyle w:val="FirstParagraph"/>
      </w:pPr>
      <w:r>
        <w:t xml:space="preserve">Ниже я ориентируюсь на ваш PDF на 34 страницы (файл “SAMASA_Leitan_obnovlennyj konspekt_mart 2026 (2).pdf”). Для внесения правок удобнее править DOCX (“…okonchatelnaya versiya…docx”) и затем экспортировать в PDF, сохранив те же “опорные места” по заголовкам.</w:t>
      </w:r>
    </w:p>
    <w:bookmarkStart w:id="29" w:name="высокий-приоритет"/>
    <w:p>
      <w:pPr>
        <w:pStyle w:val="Heading3"/>
      </w:pPr>
      <w:r>
        <w:t xml:space="preserve">Высокий приоритет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Стр. 1 (после описания цели конспекта)</w:t>
      </w:r>
      <w:r>
        <w:br/>
      </w:r>
      <w:r>
        <w:rPr>
          <w:b/>
          <w:bCs/>
        </w:rPr>
        <w:t xml:space="preserve">Вставить “корпусную рамку: насколько samāsa частотны и почему это важно”</w:t>
      </w:r>
      <w:r>
        <w:t xml:space="preserve">: 4–6 строк + сноска на источники.</w:t>
      </w:r>
      <w:r>
        <w:br/>
      </w:r>
      <w:r>
        <w:rPr>
          <w:b/>
          <w:bCs/>
        </w:rPr>
        <w:t xml:space="preserve">Что взять из файлов:</w:t>
      </w:r>
      <w:r>
        <w:br/>
      </w:r>
      <w:r>
        <w:t xml:space="preserve">– из W16‑3701 (Krishna et al. 2016): числа по Digital Corpus of Sanskrit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(198k уникальных композитов, 373k употреблений и т. п.).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– из scti‑5scls (Kulkarni &amp; Kumar): “каждое пятое/шестое слово — композит” (оценка по размеченному корпусу).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– из compounds.pptx: компактная “витрина” 75% словарного состава как композиты и 43% лемм, участвующих в композитообразовании (использовать как вторичную иллюстрацию, но ссылаться на статью/корпус как первоисточник).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br/>
      </w:r>
      <w:r>
        <w:rPr>
          <w:b/>
          <w:bCs/>
        </w:rPr>
        <w:t xml:space="preserve">Обоснование (1–2 предложения):</w:t>
      </w:r>
      <w:r>
        <w:t xml:space="preserve"> </w:t>
      </w:r>
      <w:r>
        <w:t xml:space="preserve">частотная и корпусная рамка повышает “вес” темы и оправдывает необходимость алгоритмов разбора и указателей; особенно важно для самоучек и преподавателей.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Стр. 5 (Раздел: “Основные классы и подклассы композитов”)</w:t>
      </w:r>
      <w:r>
        <w:br/>
      </w:r>
      <w:r>
        <w:rPr>
          <w:b/>
          <w:bCs/>
        </w:rPr>
        <w:t xml:space="preserve">Вставить “Дерево решений верхнего уровня (4 класса) + чек‑лист разбора”</w:t>
      </w:r>
      <w:r>
        <w:t xml:space="preserve"> </w:t>
      </w:r>
      <w:r>
        <w:t xml:space="preserve">(одной рамкой) и сразу после —</w:t>
      </w:r>
      <w:r>
        <w:t xml:space="preserve"> </w:t>
      </w:r>
      <w:r>
        <w:rPr>
          <w:b/>
          <w:bCs/>
        </w:rPr>
        <w:t xml:space="preserve">правило нумерации (§ и Примеры)</w:t>
      </w:r>
      <w:r>
        <w:t xml:space="preserve">.</w:t>
      </w:r>
      <w:r>
        <w:br/>
      </w:r>
      <w:r>
        <w:rPr>
          <w:b/>
          <w:bCs/>
        </w:rPr>
        <w:t xml:space="preserve">Что взять из файлов:</w:t>
      </w:r>
      <w:r>
        <w:br/>
      </w:r>
      <w:r>
        <w:t xml:space="preserve">– логика “4 класса” и определение “pada” как цельной единицы — хорошо согласуется с современными компьютерными описаниями (Krishna et al. 2016) и с тем, что сами сутры Панини работают “от paraphrase/​vigraha к samāsa”.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br/>
      </w:r>
      <w:r>
        <w:t xml:space="preserve">– из scti‑5scls: список сутр 2.1.6–2.2.29 как “зона условий” (вставить как ссылку в рамке “для справки”).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дерево решений и чек‑лист превращают справочник в процедурный инструмент и резко снижают вероятность “потери алгоритма” при чтении.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Стр. 18 (Раздел: “I.2. Karmadhāraya”, подпункт “upamānapūrvapada‑karmadhāraya”)</w:t>
      </w:r>
      <w:r>
        <w:br/>
      </w:r>
      <w:r>
        <w:rPr>
          <w:b/>
          <w:bCs/>
        </w:rPr>
        <w:t xml:space="preserve">Исправить ссылку на сутру Панини:</w:t>
      </w:r>
      <w:r>
        <w:t xml:space="preserve"> </w:t>
      </w:r>
      <w:r>
        <w:rPr>
          <w:rStyle w:val="VerbatimChar"/>
        </w:rPr>
        <w:t xml:space="preserve">2.1.51 upamānāni sāmānyavacanaiḥ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2.1.55 upamānāni sāmānyavacanaiḥ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неверная нумерация ломает проверяемость аргумента (особенно если вы планируете “указатель сутр” и гиперссылки).</w:t>
      </w:r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Стр. 21 (Раздел о dvigu)</w:t>
      </w:r>
      <w:r>
        <w:br/>
      </w:r>
      <w:r>
        <w:rPr>
          <w:b/>
          <w:bCs/>
        </w:rPr>
        <w:t xml:space="preserve">Добавить гиперссылки/уточнение:</w:t>
      </w:r>
      <w:r>
        <w:t xml:space="preserve"> </w:t>
      </w:r>
      <w:r>
        <w:t xml:space="preserve">оставить</w:t>
      </w:r>
      <w:r>
        <w:t xml:space="preserve"> </w:t>
      </w:r>
      <w:r>
        <w:rPr>
          <w:rStyle w:val="VerbatimChar"/>
        </w:rPr>
        <w:t xml:space="preserve">2.1.51</w:t>
      </w:r>
      <w:r>
        <w:t xml:space="preserve"> </w:t>
      </w:r>
      <w:r>
        <w:t xml:space="preserve">именно как</w:t>
      </w:r>
      <w:r>
        <w:t xml:space="preserve"> </w:t>
      </w:r>
      <w:r>
        <w:rPr>
          <w:rStyle w:val="VerbatimChar"/>
        </w:rPr>
        <w:t xml:space="preserve">taddhitārthottarapadasamāhāre ca</w:t>
      </w:r>
      <w:r>
        <w:t xml:space="preserve"> </w:t>
      </w:r>
      <w:r>
        <w:t xml:space="preserve">и рядом дать</w:t>
      </w:r>
      <w:r>
        <w:t xml:space="preserve"> </w:t>
      </w:r>
      <w:r>
        <w:rPr>
          <w:rStyle w:val="VerbatimChar"/>
        </w:rPr>
        <w:t xml:space="preserve">2.1.52 saṃkhyāpūrvo dviguḥ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вы прямо используете условия dvigu — это идеально для “узла ссылок” и будущего указателя сутр.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высокий.</w:t>
      </w:r>
    </w:p>
    <w:bookmarkEnd w:id="29"/>
    <w:bookmarkStart w:id="32" w:name="средний-приоритет"/>
    <w:p>
      <w:pPr>
        <w:pStyle w:val="Heading3"/>
      </w:pPr>
      <w:r>
        <w:t xml:space="preserve">Средний приоритет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Стр. 29–34 (Раздел AVYAYĪBHĀVA)</w:t>
      </w:r>
      <w:r>
        <w:br/>
      </w:r>
      <w:r>
        <w:rPr>
          <w:b/>
          <w:bCs/>
        </w:rPr>
        <w:t xml:space="preserve">Добавить мини‑таблицу “значения avyayībhāva по 2.1.6”</w:t>
      </w:r>
      <w:r>
        <w:t xml:space="preserve"> </w:t>
      </w:r>
      <w:r>
        <w:t xml:space="preserve">и помету “если в словаре indecl., трактовать как наречие” (в виде “врезки”).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2.1.6 — ключевая сутра‑“контейнер” условий, которую удобно визуализировать как список значений; это улучшает навигацию и эквивалентно небольшому “указателю смыслов”.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Стр. 28–29 (DVANDVA)</w:t>
      </w:r>
      <w:r>
        <w:br/>
      </w:r>
      <w:r>
        <w:rPr>
          <w:b/>
          <w:bCs/>
        </w:rPr>
        <w:t xml:space="preserve">Добавить “правило samāhāra‑dvandva (единственное число/средний род) + ссылку на 2.4.2 и 2.4.17”</w:t>
      </w:r>
      <w:r>
        <w:t xml:space="preserve"> </w:t>
      </w:r>
      <w:r>
        <w:t xml:space="preserve">и связать с вашими примерами частей тела/войска/инструментов.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это место традиционно вызывает вопросы (“почему neuter/singular?”); точная сутра‑опора повышает научную аккуратность и помогает будущему указателю.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Конец документа (после стр. 34)</w:t>
      </w:r>
      <w:r>
        <w:br/>
      </w:r>
      <w:r>
        <w:rPr>
          <w:b/>
          <w:bCs/>
        </w:rPr>
        <w:t xml:space="preserve">Добавить “Приложения: указатели, источники, шаблоны vigraha, SRS‑deck”</w:t>
      </w:r>
      <w:r>
        <w:t xml:space="preserve"> </w:t>
      </w:r>
      <w:r>
        <w:t xml:space="preserve">(см. ниже).</w:t>
      </w:r>
      <w:r>
        <w:br/>
      </w:r>
      <w:r>
        <w:rPr>
          <w:b/>
          <w:bCs/>
        </w:rPr>
        <w:t xml:space="preserve">Что взять:</w:t>
      </w:r>
      <w:r>
        <w:br/>
      </w:r>
      <w:r>
        <w:t xml:space="preserve">– нумерационную философию “§‑сквозная” как образец можно взять из Zaliznyak‑doc (как стиль), а структуру “источник → место” — из вашей заметки/DEEPL‑TXT (список ресурсов).</w:t>
      </w:r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указатели дают “справочнику” вторую жизнь: его начинают реально использовать как книгу поиска, а не просто чтения.</w:t>
      </w:r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средний.</w:t>
      </w:r>
    </w:p>
    <w:bookmarkEnd w:id="32"/>
    <w:bookmarkStart w:id="33" w:name="низкий-приоритет"/>
    <w:p>
      <w:pPr>
        <w:pStyle w:val="Heading3"/>
      </w:pPr>
      <w:r>
        <w:t xml:space="preserve">Низкий приоритет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Вставка “компьютерный взгляд: как автоматизируют разбор samāsa”</w:t>
      </w:r>
      <w:r>
        <w:t xml:space="preserve"> </w:t>
      </w:r>
      <w:r>
        <w:t xml:space="preserve">(1/2 страницы, в приложении)</w:t>
      </w:r>
      <w:r>
        <w:br/>
      </w:r>
      <w:r>
        <w:rPr>
          <w:b/>
          <w:bCs/>
        </w:rPr>
        <w:t xml:space="preserve">Что взять:</w:t>
      </w:r>
      <w:r>
        <w:t xml:space="preserve"> </w:t>
      </w:r>
      <w:r>
        <w:t xml:space="preserve">схему “Segmenter → Parser → Type identifier → Paraphrase generator” из anil.pdf и ссылки на инструменты UoHyd/ISCLS.</w:t>
      </w:r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br/>
      </w:r>
      <w:r>
        <w:rPr>
          <w:b/>
          <w:bCs/>
        </w:rPr>
        <w:t xml:space="preserve">Обоснование:</w:t>
      </w:r>
      <w:r>
        <w:t xml:space="preserve"> </w:t>
      </w:r>
      <w:r>
        <w:t xml:space="preserve">полезно для читателей, работающих с корпусами/цифровыми инструментами, но не обязательно для основной дидактической линии.</w:t>
      </w:r>
      <w:r>
        <w:br/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низкий.</w:t>
      </w:r>
    </w:p>
    <w:bookmarkEnd w:id="33"/>
    <w:bookmarkStart w:id="34" w:name="диаграмма-приоритетов-правок"/>
    <w:p>
      <w:pPr>
        <w:pStyle w:val="Heading3"/>
      </w:pPr>
      <w:r>
        <w:t xml:space="preserve">Диаграмма приоритетов правок</w:t>
      </w:r>
    </w:p>
    <w:p>
      <w:pPr>
        <w:pStyle w:val="SourceCode"/>
      </w:pPr>
      <w:r>
        <w:rPr>
          <w:rStyle w:val="VerbatimChar"/>
        </w:rPr>
        <w:t xml:space="preserve">xychart-beta</w:t>
      </w:r>
      <w:r>
        <w:br/>
      </w:r>
      <w:r>
        <w:rPr>
          <w:rStyle w:val="VerbatimChar"/>
        </w:rPr>
        <w:t xml:space="preserve">  title "Приоритеты правок (3=высокий, 2=средний, 1=низкий)"</w:t>
      </w:r>
      <w:r>
        <w:br/>
      </w:r>
      <w:r>
        <w:rPr>
          <w:rStyle w:val="VerbatimChar"/>
        </w:rPr>
        <w:t xml:space="preserve">  x-axis ["Корпусная рамка","Дерево+чеклист","Нумерация §/Пример","Испр. сутры 2.1.55","Ссылки dvigu 2.1.51/52","AVYAYĪBHĀVA 2.1.6 таблица","DVANDVA 2.4.2/17","Указатели/источники","Инструменты/пайплайн"]</w:t>
      </w:r>
      <w:r>
        <w:br/>
      </w:r>
      <w:r>
        <w:rPr>
          <w:rStyle w:val="VerbatimChar"/>
        </w:rPr>
        <w:t xml:space="preserve">  y-axis "Оценка" 0 --&gt; 3</w:t>
      </w:r>
      <w:r>
        <w:br/>
      </w:r>
      <w:r>
        <w:rPr>
          <w:rStyle w:val="VerbatimChar"/>
        </w:rPr>
        <w:t xml:space="preserve">  bar [3,3,3,3,3,2,2,2,1]</w:t>
      </w:r>
    </w:p>
    <w:bookmarkEnd w:id="34"/>
    <w:bookmarkEnd w:id="35"/>
    <w:bookmarkStart w:id="42" w:name="X1ee121d773ac91a2c32921402c2879aa7f4f9c6"/>
    <w:p>
      <w:pPr>
        <w:pStyle w:val="Heading2"/>
      </w:pPr>
      <w:r>
        <w:t xml:space="preserve">Статистика, частотность и корпусная аналитика</w:t>
      </w:r>
    </w:p>
    <w:bookmarkStart w:id="37" w:name="какие-данные-извлечь-и-зачем-именно-эти"/>
    <w:p>
      <w:pPr>
        <w:pStyle w:val="Heading3"/>
      </w:pPr>
      <w:r>
        <w:t xml:space="preserve">Какие данные извлечь и зачем именно эти</w:t>
      </w:r>
    </w:p>
    <w:p>
      <w:pPr>
        <w:pStyle w:val="FirstParagraph"/>
      </w:pPr>
      <w:r>
        <w:rPr>
          <w:b/>
          <w:bCs/>
        </w:rPr>
        <w:t xml:space="preserve">Базовый минимум (вставить в PDF как “корпусную рамку”):</w:t>
      </w:r>
      <w:r>
        <w:t xml:space="preserve"> </w:t>
      </w:r>
      <w:r>
        <w:t xml:space="preserve">- доля композитов и масштаб явления в корпусе: в исследовании Krishna et al. (2016) на материале DCS приводятся оценочные числа (в т. ч. 198k уникальных композитов и 373k употреблений на 2.5M токенов после пред‑обработки; 75% словаря как композиты; &gt;41% композитов имеют ≥3 компонента).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оценка “каждое 5–6 слово — композит” как интуитивная метрика частотности из работы Kulkarni &amp; Kumar.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- описание возможностей DCS: лемматизированный, sandhi‑split корпус с морфологической и лексической разметкой, возможностью искать лексемы и их коллокации, а также получать статистику по употреблениям.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BodyText"/>
      </w:pPr>
      <w:r>
        <w:rPr>
          <w:b/>
          <w:bCs/>
        </w:rPr>
        <w:t xml:space="preserve">Расширенный набор (в приложении “Корпусные данные”):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леммы компонентов</w:t>
      </w:r>
      <w:r>
        <w:t xml:space="preserve"> </w:t>
      </w:r>
      <w:r>
        <w:t xml:space="preserve">(pūrvapada/uttarapada) и частота каждой леммы в корпусе;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формы (surface forms)</w:t>
      </w:r>
      <w:r>
        <w:t xml:space="preserve"> </w:t>
      </w:r>
      <w:r>
        <w:t xml:space="preserve">“как в тексте” + частота формы (если вы отслеживаете орфографические варианты);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частота самого композита</w:t>
      </w:r>
      <w:r>
        <w:t xml:space="preserve"> </w:t>
      </w:r>
      <w:r>
        <w:t xml:space="preserve">(если он реально встречается в DCS/в вашем подкорпусе);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контексты</w:t>
      </w:r>
      <w:r>
        <w:t xml:space="preserve">: минимум 3 KWIC‑контекста на пример (20–40 символов слева/справа);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коллокации</w:t>
      </w:r>
      <w:r>
        <w:t xml:space="preserve"> </w:t>
      </w:r>
      <w:r>
        <w:t xml:space="preserve">для ключевых компонентов (топ‑10), чтобы показать “типичность” и облегчить перевод/интерпретацию.</w:t>
      </w:r>
    </w:p>
    <w:bookmarkEnd w:id="37"/>
    <w:bookmarkStart w:id="40" w:name="какие-методы-и-инструменты-использовать"/>
    <w:p>
      <w:pPr>
        <w:pStyle w:val="Heading3"/>
      </w:pPr>
      <w:r>
        <w:t xml:space="preserve">Какие методы и инструменты использовать</w:t>
      </w:r>
    </w:p>
    <w:p>
      <w:pPr>
        <w:pStyle w:val="Compact"/>
        <w:numPr>
          <w:ilvl w:val="0"/>
          <w:numId w:val="1004"/>
        </w:numPr>
      </w:pPr>
      <w:r>
        <w:t xml:space="preserve">Digital Corpus of Sanskrit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— как основа для лемм/контекстов/коллокаций и статистики по вхождениям.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4"/>
        </w:numPr>
      </w:pPr>
      <w:r>
        <w:t xml:space="preserve">GRETIL</w:t>
      </w: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— как источник машиночитаемых текстов для расширения корпуса (скачать, нормализовать, загрузить в локальный инструмент/Sketch Engine).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04"/>
        </w:numPr>
      </w:pPr>
      <w:r>
        <w:t xml:space="preserve">Sketch Engine</w:t>
      </w:r>
      <w:hyperlink r:id="rId3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— для коллокаций/word sketches и сравнения контекстов, если вы делаете собственный подкорпус (например, “эпос/ка̄вья/шастра”). Инструмент “word sketch” специально предназначен для компактного показа коллокаций и типичных контекстов употребления.</w:t>
      </w:r>
      <w:r>
        <w:t xml:space="preserve"> </w:t>
      </w:r>
      <w:hyperlink r:id="rId39">
        <w:r>
          <w:rPr>
            <w:rStyle w:val="Hyperlink"/>
          </w:rPr>
          <w:t xml:space="preserve">[21]</w:t>
        </w:r>
      </w:hyperlink>
    </w:p>
    <w:p>
      <w:pPr>
        <w:pStyle w:val="FirstParagraph"/>
      </w:pPr>
      <w:r>
        <w:rPr>
          <w:b/>
          <w:bCs/>
        </w:rPr>
        <w:t xml:space="preserve">Важно:</w:t>
      </w:r>
      <w:r>
        <w:t xml:space="preserve"> </w:t>
      </w:r>
      <w:r>
        <w:t xml:space="preserve">в ваших файлах</w:t>
      </w:r>
      <w:r>
        <w:t xml:space="preserve"> </w:t>
      </w:r>
      <w:r>
        <w:rPr>
          <w:b/>
          <w:bCs/>
        </w:rPr>
        <w:t xml:space="preserve">нет готовых таблиц частотности по примерам конспекта</w:t>
      </w:r>
      <w:r>
        <w:t xml:space="preserve"> </w:t>
      </w:r>
      <w:r>
        <w:t xml:space="preserve">(есть общие оценки по DCS и результаты/метрики в вычислительных работах). Поэтому для следующей порции данных нужно собрать либо:</w:t>
      </w:r>
      <w:r>
        <w:br/>
      </w:r>
      <w:r>
        <w:t xml:space="preserve">1) CSV со всеми примерами конспекта (samāsa, vigraha, класс, источник), либо</w:t>
      </w:r>
      <w:r>
        <w:br/>
      </w:r>
      <w:r>
        <w:t xml:space="preserve">2) выгрузки/скриншоты из DCS/Sketch Engine по ключевым леммам (частоты и KWIC).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</w:p>
    <w:bookmarkEnd w:id="40"/>
    <w:bookmarkStart w:id="41" w:name="форматы-вывода-таблицыcsvграфики"/>
    <w:p>
      <w:pPr>
        <w:pStyle w:val="Heading3"/>
      </w:pPr>
      <w:r>
        <w:t xml:space="preserve">Форматы вывода: таблицы/CSV/графики</w:t>
      </w:r>
    </w:p>
    <w:p>
      <w:pPr>
        <w:pStyle w:val="FirstParagraph"/>
      </w:pPr>
      <w:r>
        <w:t xml:space="preserve">Рекомендую вести</w:t>
      </w:r>
      <w:r>
        <w:t xml:space="preserve"> </w:t>
      </w:r>
      <w:r>
        <w:rPr>
          <w:b/>
          <w:bCs/>
        </w:rPr>
        <w:t xml:space="preserve">единый мастер‑CSV</w:t>
      </w:r>
      <w:r>
        <w:t xml:space="preserve"> </w:t>
      </w:r>
      <w:r>
        <w:t xml:space="preserve">(он же база для указателей и SRS):</w:t>
      </w:r>
    </w:p>
    <w:p>
      <w:pPr>
        <w:pStyle w:val="BodyText"/>
      </w:pPr>
      <w:r>
        <w:rPr>
          <w:b/>
          <w:bCs/>
        </w:rPr>
        <w:t xml:space="preserve">Минимальные поля: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ExampleID, SectionID, Samasa, Split, Headedness, Class, Subtype, SutraRefs, Vigraha, GlossRU, TranslationRU, SourceTag, TextRef, Notes</w:t>
      </w:r>
      <w:r>
        <w:t xml:space="preserve"> </w:t>
      </w:r>
      <w:r>
        <w:t xml:space="preserve">- отдельный файл</w:t>
      </w:r>
      <w:r>
        <w:t xml:space="preserve"> </w:t>
      </w:r>
      <w:r>
        <w:rPr>
          <w:rStyle w:val="VerbatimChar"/>
        </w:rPr>
        <w:t xml:space="preserve">freq_components.csv</w:t>
      </w:r>
      <w:r>
        <w:t xml:space="preserve">:</w:t>
      </w:r>
      <w:r>
        <w:t xml:space="preserve"> </w:t>
      </w:r>
      <w:r>
        <w:rPr>
          <w:rStyle w:val="VerbatimChar"/>
        </w:rPr>
        <w:t xml:space="preserve">Lemma, POS, Role(purva/uttara), Count_DCS, TopCollocates, ExampleIDs</w:t>
      </w:r>
    </w:p>
    <w:p>
      <w:pPr>
        <w:pStyle w:val="BodyText"/>
      </w:pPr>
      <w:r>
        <w:rPr>
          <w:b/>
          <w:bCs/>
        </w:rPr>
        <w:t xml:space="preserve">Графики для приложения (простые, но полезные):</w:t>
      </w:r>
      <w:r>
        <w:t xml:space="preserve"> </w:t>
      </w:r>
      <w:r>
        <w:t xml:space="preserve">- распределение “классы samāsa в конспекте” (T/B/D/A);</w:t>
      </w:r>
      <w:r>
        <w:br/>
      </w:r>
      <w:r>
        <w:t xml:space="preserve">- распределение “число компонентов” (2/3/4+), сравнить с baseline “&gt;41% имеют ≥3 компонента” из Krishna et al.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bookmarkEnd w:id="41"/>
    <w:bookmarkEnd w:id="42"/>
    <w:bookmarkStart w:id="48" w:name="дерево-решений-и-чеклисты-для-вставки"/>
    <w:p>
      <w:pPr>
        <w:pStyle w:val="Heading2"/>
      </w:pPr>
      <w:r>
        <w:t xml:space="preserve">Дерево решений и чек‑листы для вставки</w:t>
      </w:r>
    </w:p>
    <w:bookmarkStart w:id="43" w:name="куда-вставить-в-pdf"/>
    <w:p>
      <w:pPr>
        <w:pStyle w:val="Heading3"/>
      </w:pPr>
      <w:r>
        <w:t xml:space="preserve">Куда вставить в PDF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Дерево верхнего уровня (4 класса)</w:t>
      </w:r>
      <w:r>
        <w:t xml:space="preserve">:</w:t>
      </w:r>
      <w:r>
        <w:t xml:space="preserve"> </w:t>
      </w:r>
      <w:r>
        <w:rPr>
          <w:b/>
          <w:bCs/>
        </w:rPr>
        <w:t xml:space="preserve">стр. 5</w:t>
      </w:r>
      <w:r>
        <w:t xml:space="preserve">, сразу после заголовка “Основные классы…” и перед детальным разбором.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Чек‑лист</w:t>
      </w:r>
      <w:r>
        <w:t xml:space="preserve">: на той же странице или “следующей полосой” (стр. 6), чтобы в распечатке дерево и чек‑лист были рядом.</w:t>
      </w:r>
    </w:p>
    <w:bookmarkEnd w:id="43"/>
    <w:bookmarkStart w:id="44" w:name="X40922d3a1224471cc18652f801d5c20c8563d0a"/>
    <w:p>
      <w:pPr>
        <w:pStyle w:val="Heading3"/>
      </w:pPr>
      <w:r>
        <w:t xml:space="preserve">Mermaid‑flowchart дерева решений для samāsa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A[Есть 1 слово с 1 окончанием (pada)?] --&gt;|Нет| Z[Не samāsa: синтаксическая группа]</w:t>
      </w:r>
      <w:r>
        <w:br/>
      </w:r>
      <w:r>
        <w:rPr>
          <w:rStyle w:val="VerbatimChar"/>
        </w:rPr>
        <w:t xml:space="preserve">  A --&gt;|Да| B{Смысл "A и B" / перечисление?}</w:t>
      </w:r>
      <w:r>
        <w:br/>
      </w:r>
      <w:r>
        <w:rPr>
          <w:rStyle w:val="VerbatimChar"/>
        </w:rPr>
        <w:t xml:space="preserve">  B --&gt;|Да| C[DVANDVA]</w:t>
      </w:r>
      <w:r>
        <w:br/>
      </w:r>
      <w:r>
        <w:rPr>
          <w:rStyle w:val="VerbatimChar"/>
        </w:rPr>
        <w:t xml:space="preserve">  B --&gt;|Нет| D{Левый компонент indecl./avyaya,\nвесь композит часто indecl.?}</w:t>
      </w:r>
      <w:r>
        <w:br/>
      </w:r>
      <w:r>
        <w:rPr>
          <w:rStyle w:val="VerbatimChar"/>
        </w:rPr>
        <w:t xml:space="preserve">  D --&gt;|Да| E[AVYAYĪBHĀVA]</w:t>
      </w:r>
      <w:r>
        <w:br/>
      </w:r>
      <w:r>
        <w:rPr>
          <w:rStyle w:val="VerbatimChar"/>
        </w:rPr>
        <w:t xml:space="preserve">  D --&gt;|Нет| F{Есть внешний носитель/референт?\nПереводится как "тот, у кого/который..."?}</w:t>
      </w:r>
      <w:r>
        <w:br/>
      </w:r>
      <w:r>
        <w:rPr>
          <w:rStyle w:val="VerbatimChar"/>
        </w:rPr>
        <w:t xml:space="preserve">  F --&gt;|Да| G[BAHUVRĪHI]</w:t>
      </w:r>
      <w:r>
        <w:br/>
      </w:r>
      <w:r>
        <w:rPr>
          <w:rStyle w:val="VerbatimChar"/>
        </w:rPr>
        <w:t xml:space="preserve">  F --&gt;|Нет| H[TATPURUṢA (в т.ч. karmadhāraya, dvigu и др.)]</w:t>
      </w:r>
    </w:p>
    <w:p>
      <w:pPr>
        <w:pStyle w:val="FirstParagraph"/>
      </w:pPr>
      <w:r>
        <w:rPr>
          <w:b/>
          <w:bCs/>
        </w:rPr>
        <w:t xml:space="preserve">Короткое обоснование:</w:t>
      </w:r>
      <w:r>
        <w:t xml:space="preserve"> </w:t>
      </w:r>
      <w:r>
        <w:t xml:space="preserve">это дерево согласуется с традиционной 4‑классной схемой, которая является общей рамкой и в современных вычислительных описаниях (Krishna et al. 2016), и в “паниниевских подсказках” для идентификации типа (Kulkarni &amp; Kumar).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bookmarkEnd w:id="44"/>
    <w:bookmarkStart w:id="47" w:name="вставляемые-чеклисты"/>
    <w:p>
      <w:pPr>
        <w:pStyle w:val="Heading3"/>
      </w:pPr>
      <w:r>
        <w:t xml:space="preserve">Вставляемые чек‑листы</w:t>
      </w:r>
    </w:p>
    <w:bookmarkStart w:id="45" w:name="X09ec4a954971231d903309c939d457b2bc73c01"/>
    <w:p>
      <w:pPr>
        <w:pStyle w:val="Heading4"/>
      </w:pPr>
      <w:r>
        <w:t xml:space="preserve">Чек‑лист “разбор samāsa за 90 секунд” (вставить как рамку)</w:t>
      </w:r>
    </w:p>
    <w:p>
      <w:pPr>
        <w:pStyle w:val="SourceCode"/>
      </w:pPr>
      <w:r>
        <w:rPr>
          <w:rStyle w:val="VerbatimChar"/>
        </w:rPr>
        <w:t xml:space="preserve">ЧЕК-ЛИСТ: разбор samāsa (быстрый протокол)</w:t>
      </w:r>
      <w:r>
        <w:br/>
      </w:r>
      <w:r>
        <w:br/>
      </w:r>
      <w:r>
        <w:rPr>
          <w:rStyle w:val="VerbatimChar"/>
        </w:rPr>
        <w:t xml:space="preserve">1) Запишите samāsa и контекст (1–2 слова слева/справа).</w:t>
      </w:r>
      <w:r>
        <w:br/>
      </w:r>
      <w:r>
        <w:rPr>
          <w:rStyle w:val="VerbatimChar"/>
        </w:rPr>
        <w:t xml:space="preserve">2) Определите класс по дереву решений: T / B / D / A.</w:t>
      </w:r>
      <w:r>
        <w:br/>
      </w:r>
      <w:r>
        <w:rPr>
          <w:rStyle w:val="VerbatimChar"/>
        </w:rPr>
        <w:t xml:space="preserve">3) Определите "главность":</w:t>
      </w:r>
      <w:r>
        <w:br/>
      </w:r>
      <w:r>
        <w:rPr>
          <w:rStyle w:val="VerbatimChar"/>
        </w:rPr>
        <w:t xml:space="preserve">   - tatpuruṣa: голова обычно справа;</w:t>
      </w:r>
      <w:r>
        <w:br/>
      </w:r>
      <w:r>
        <w:rPr>
          <w:rStyle w:val="VerbatimChar"/>
        </w:rPr>
        <w:t xml:space="preserve">   - dvandva: головы обе;</w:t>
      </w:r>
      <w:r>
        <w:br/>
      </w:r>
      <w:r>
        <w:rPr>
          <w:rStyle w:val="VerbatimChar"/>
        </w:rPr>
        <w:t xml:space="preserve">   - bahuvrīhi: внешний референт;</w:t>
      </w:r>
      <w:r>
        <w:br/>
      </w:r>
      <w:r>
        <w:rPr>
          <w:rStyle w:val="VerbatimChar"/>
        </w:rPr>
        <w:t xml:space="preserve">   - avyayībhāva: часто indecl., голова-avyaya.</w:t>
      </w:r>
      <w:r>
        <w:br/>
      </w:r>
      <w:r>
        <w:rPr>
          <w:rStyle w:val="VerbatimChar"/>
        </w:rPr>
        <w:t xml:space="preserve">4) Снимите sandhi минимально (только чтобы увидеть границу(ы) компонентов).</w:t>
      </w:r>
      <w:r>
        <w:br/>
      </w:r>
      <w:r>
        <w:rPr>
          <w:rStyle w:val="VerbatimChar"/>
        </w:rPr>
        <w:t xml:space="preserve">5) Постройте черновой vigraha по шаблону класса.</w:t>
      </w:r>
      <w:r>
        <w:br/>
      </w:r>
      <w:r>
        <w:rPr>
          <w:rStyle w:val="VerbatimChar"/>
        </w:rPr>
        <w:t xml:space="preserve">6) Дайте 2 перевода:</w:t>
      </w:r>
      <w:r>
        <w:br/>
      </w:r>
      <w:r>
        <w:rPr>
          <w:rStyle w:val="VerbatimChar"/>
        </w:rPr>
        <w:t xml:space="preserve">   (а) буквальный (контроль отношений),</w:t>
      </w:r>
      <w:r>
        <w:br/>
      </w:r>
      <w:r>
        <w:rPr>
          <w:rStyle w:val="VerbatimChar"/>
        </w:rPr>
        <w:t xml:space="preserve">   (б) нормированный (как это естественно по-русски).</w:t>
      </w:r>
      <w:r>
        <w:br/>
      </w:r>
      <w:r>
        <w:rPr>
          <w:rStyle w:val="VerbatimChar"/>
        </w:rPr>
        <w:t xml:space="preserve">7) Укажите 1 признак-обоснование (почему этот класс/подтип).</w:t>
      </w:r>
    </w:p>
    <w:bookmarkEnd w:id="45"/>
    <w:bookmarkStart w:id="46" w:name="X9f6c3fa2932390f3d9e6d00d615275c1c0dd208"/>
    <w:p>
      <w:pPr>
        <w:pStyle w:val="Heading4"/>
      </w:pPr>
      <w:r>
        <w:t xml:space="preserve">Чек‑лист “контроль ссылки на сутру” (вставить в конец каждого раздела)</w:t>
      </w:r>
    </w:p>
    <w:p>
      <w:pPr>
        <w:pStyle w:val="SourceCode"/>
      </w:pPr>
      <w:r>
        <w:rPr>
          <w:rStyle w:val="VerbatimChar"/>
        </w:rPr>
        <w:t xml:space="preserve">ЧЕК-ЛИСТ: контроль ссылок на Панини</w:t>
      </w:r>
      <w:r>
        <w:br/>
      </w:r>
      <w:r>
        <w:br/>
      </w:r>
      <w:r>
        <w:rPr>
          <w:rStyle w:val="VerbatimChar"/>
        </w:rPr>
        <w:t xml:space="preserve">☐ Номер сутры совпадает с её текстом (проверено по ссылке).</w:t>
      </w:r>
      <w:r>
        <w:br/>
      </w:r>
      <w:r>
        <w:rPr>
          <w:rStyle w:val="VerbatimChar"/>
        </w:rPr>
        <w:t xml:space="preserve">☐ В тексте рядом дана 1–2 ключевых слова сутры (для узнавания).</w:t>
      </w:r>
      <w:r>
        <w:br/>
      </w:r>
      <w:r>
        <w:rPr>
          <w:rStyle w:val="VerbatimChar"/>
        </w:rPr>
        <w:t xml:space="preserve">☐ Если сутра используется как "условие", указано: какое именно условие применяем.</w:t>
      </w:r>
      <w:r>
        <w:br/>
      </w:r>
      <w:r>
        <w:rPr>
          <w:rStyle w:val="VerbatimChar"/>
        </w:rPr>
        <w:t xml:space="preserve">☐ Гиперссылка ведёт на страницу сутры (ashtadhyayi / резервный источник).</w:t>
      </w:r>
    </w:p>
    <w:p>
      <w:pPr>
        <w:pStyle w:val="FirstParagraph"/>
      </w:pPr>
      <w:r>
        <w:rPr>
          <w:b/>
          <w:bCs/>
        </w:rPr>
        <w:t xml:space="preserve">Почему чек‑лист ссылок важен именно вам:</w:t>
      </w:r>
      <w:r>
        <w:t xml:space="preserve"> </w:t>
      </w:r>
      <w:r>
        <w:t xml:space="preserve">вы планируете развивать указатели/глоссарии и сквозную нумерацию; ошибка типа “2.1.51 вместо 2.1.55” разрушает эту систему на уровне инфраструктуры.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bookmarkEnd w:id="46"/>
    <w:bookmarkEnd w:id="47"/>
    <w:bookmarkEnd w:id="48"/>
    <w:bookmarkStart w:id="52" w:name="X31f1e7b38051b9f32eb7bfd362a59684252250d"/>
    <w:p>
      <w:pPr>
        <w:pStyle w:val="Heading2"/>
      </w:pPr>
      <w:r>
        <w:t xml:space="preserve">Приложения, нумерация и метаданные примеров</w:t>
      </w:r>
    </w:p>
    <w:bookmarkStart w:id="49" w:name="X42fb5fee0ff75c78be314710886bf8a2c16e407"/>
    <w:p>
      <w:pPr>
        <w:pStyle w:val="Heading3"/>
      </w:pPr>
      <w:r>
        <w:t xml:space="preserve">Рекомендуемый набор справочных приложений и пример записи</w:t>
      </w:r>
    </w:p>
    <w:p>
      <w:pPr>
        <w:pStyle w:val="FirstParagraph"/>
      </w:pPr>
      <w:r>
        <w:t xml:space="preserve">Добавить в конец PDF (или в DOCX перед экспортом) блок</w:t>
      </w:r>
      <w:r>
        <w:t xml:space="preserve"> </w:t>
      </w:r>
      <w:r>
        <w:rPr>
          <w:b/>
          <w:bCs/>
        </w:rPr>
        <w:t xml:space="preserve">“Приложения”</w:t>
      </w:r>
      <w:r>
        <w:t xml:space="preserve">: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Приложение A. Указатель Sanskrit → RU</w:t>
      </w:r>
      <w:r>
        <w:t xml:space="preserve"> </w:t>
      </w:r>
      <w:r>
        <w:t xml:space="preserve">(сортировка по санскритскому алфавиту/деванагари‑порядку; можно хранить IAST, но сортировать “по санскритским правилам” в подготовительной таблице).</w:t>
      </w:r>
      <w:r>
        <w:br/>
      </w:r>
      <w:r>
        <w:rPr>
          <w:b/>
          <w:bCs/>
        </w:rPr>
        <w:t xml:space="preserve">Пример записи: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meghaśyāmaḥ — ‘тёмный как туча’ → Пример T-0XX; § 12.2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Приложение B. Указатель RU → Sanskrit</w:t>
      </w:r>
      <w:r>
        <w:br/>
      </w:r>
      <w:r>
        <w:rPr>
          <w:b/>
          <w:bCs/>
        </w:rPr>
        <w:t xml:space="preserve">Пример: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тёмносиний (как туча) → meghaśyāmaḥ (Пример T-0XX)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Приложение C. Терминологический глоссарий (Skt → RU)</w:t>
      </w:r>
      <w:r>
        <w:br/>
      </w:r>
      <w:r>
        <w:rPr>
          <w:b/>
          <w:bCs/>
        </w:rPr>
        <w:t xml:space="preserve">Пример: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upamānapūrvapada-karmadhāraya — “сравнительная кармадхарая (upamāna слева)” → § 12.2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Приложение D. Реестр источников примеров</w:t>
      </w:r>
      <w:r>
        <w:t xml:space="preserve"> </w:t>
      </w:r>
      <w:r>
        <w:t xml:space="preserve">(первичные тексты, грамматики, сайты, авторские примеры).</w:t>
      </w:r>
      <w:r>
        <w:br/>
      </w:r>
      <w:r>
        <w:rPr>
          <w:b/>
          <w:bCs/>
        </w:rPr>
        <w:t xml:space="preserve">Пример метки: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[Источник: Rāmāyaṇa 5.8.46 (crit. ed.)]</w:t>
      </w:r>
      <w:r>
        <w:br/>
      </w:r>
      <w:r>
        <w:rPr>
          <w:rStyle w:val="VerbatimChar"/>
        </w:rPr>
        <w:t xml:space="preserve">[Источник: JNU e-learning, URL, дата обращения]</w:t>
      </w:r>
      <w:r>
        <w:br/>
      </w:r>
      <w:r>
        <w:rPr>
          <w:rStyle w:val="VerbatimChar"/>
        </w:rPr>
        <w:t xml:space="preserve">[Источник: авторский пример/адаптация]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Приложение E. Таблица шаблонов vigraha</w:t>
      </w:r>
      <w:r>
        <w:t xml:space="preserve"> </w:t>
      </w:r>
      <w:r>
        <w:t xml:space="preserve">(по классам и частым подтипам).</w:t>
      </w:r>
      <w:r>
        <w:br/>
      </w:r>
      <w:r>
        <w:t xml:space="preserve">(Здесь же удобно сослаться на “паниниевскую” идею, что процесс идёт от vigraha к samāsa — это явно отражено и в описании UoHyd‑генератора композитов.)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</w:p>
    <w:p>
      <w:pPr>
        <w:numPr>
          <w:ilvl w:val="0"/>
          <w:numId w:val="1006"/>
        </w:numPr>
      </w:pPr>
      <w:r>
        <w:rPr>
          <w:b/>
          <w:bCs/>
        </w:rPr>
        <w:t xml:space="preserve">Приложение F. SRS‑deck (экспорт в CSV/Anki)</w:t>
      </w:r>
      <w:r>
        <w:br/>
      </w:r>
      <w:r>
        <w:t xml:space="preserve">Обоснование “почему SRS”: интервальные повторения дают средне‑крупный эффект на удержание в языковом обучении.</w:t>
      </w:r>
      <w:r>
        <w:t xml:space="preserve"> </w:t>
      </w:r>
      <w:hyperlink r:id="rId26">
        <w:r>
          <w:rPr>
            <w:rStyle w:val="Hyperlink"/>
          </w:rPr>
          <w:t xml:space="preserve">[24]</w:t>
        </w:r>
      </w:hyperlink>
    </w:p>
    <w:bookmarkEnd w:id="49"/>
    <w:bookmarkStart w:id="50" w:name="схема-нумерации-секций-и-примеров"/>
    <w:p>
      <w:pPr>
        <w:pStyle w:val="Heading3"/>
      </w:pPr>
      <w:r>
        <w:t xml:space="preserve">Схема нумерации секций и примеров</w:t>
      </w:r>
    </w:p>
    <w:p>
      <w:pPr>
        <w:pStyle w:val="FirstParagraph"/>
      </w:pPr>
      <w:r>
        <w:t xml:space="preserve">Чтобы не конфликтовать с §‑нумерацией и сохранить возможность указателей:</w:t>
      </w:r>
    </w:p>
    <w:p>
      <w:pPr>
        <w:numPr>
          <w:ilvl w:val="0"/>
          <w:numId w:val="1007"/>
        </w:numPr>
      </w:pPr>
      <w:r>
        <w:t xml:space="preserve">Секции:</w:t>
      </w:r>
      <w:r>
        <w:t xml:space="preserve"> </w:t>
      </w:r>
      <w:r>
        <w:rPr>
          <w:rStyle w:val="VerbatimChar"/>
        </w:rPr>
        <w:t xml:space="preserve">§ 1, § 2, …</w:t>
      </w:r>
      <w:r>
        <w:t xml:space="preserve"> </w:t>
      </w:r>
      <w:r>
        <w:t xml:space="preserve">(сквозная нумерация по документу)</w:t>
      </w:r>
      <w:r>
        <w:br/>
      </w:r>
      <w:r>
        <w:t xml:space="preserve">Подсекции:</w:t>
      </w:r>
      <w:r>
        <w:t xml:space="preserve"> </w:t>
      </w:r>
      <w:r>
        <w:rPr>
          <w:rStyle w:val="VerbatimChar"/>
        </w:rPr>
        <w:t xml:space="preserve">§ 7.1, § 7.2, …</w:t>
      </w:r>
    </w:p>
    <w:p>
      <w:pPr>
        <w:numPr>
          <w:ilvl w:val="0"/>
          <w:numId w:val="1007"/>
        </w:numPr>
      </w:pPr>
      <w:r>
        <w:t xml:space="preserve">Примеры: отдельная серия по классу: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Пример T-001</w:t>
      </w:r>
      <w:r>
        <w:t xml:space="preserve"> </w:t>
      </w:r>
      <w:r>
        <w:t xml:space="preserve">(tatpuruṣa)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Пример B-001</w:t>
      </w:r>
      <w:r>
        <w:t xml:space="preserve"> </w:t>
      </w:r>
      <w:r>
        <w:t xml:space="preserve">(bahuvrīhi)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Пример D-001</w:t>
      </w:r>
      <w:r>
        <w:t xml:space="preserve"> </w:t>
      </w:r>
      <w:r>
        <w:t xml:space="preserve">(dvandva)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Пример A-001</w:t>
      </w:r>
      <w:r>
        <w:t xml:space="preserve"> </w:t>
      </w:r>
      <w:r>
        <w:t xml:space="preserve">(avyayībhāva)</w:t>
      </w:r>
    </w:p>
    <w:p>
      <w:pPr>
        <w:pStyle w:val="FirstParagraph"/>
      </w:pPr>
      <w:r>
        <w:rPr>
          <w:b/>
          <w:bCs/>
        </w:rPr>
        <w:t xml:space="preserve">Куда вставить правило нумерации:</w:t>
      </w:r>
      <w:r>
        <w:t xml:space="preserve"> </w:t>
      </w:r>
      <w:r>
        <w:rPr>
          <w:b/>
          <w:bCs/>
        </w:rPr>
        <w:t xml:space="preserve">стр. 5–6</w:t>
      </w:r>
      <w:r>
        <w:t xml:space="preserve">, сразу после дерева решений (чтобы человек понял, как вы ссылаетесь дальше).</w:t>
      </w:r>
    </w:p>
    <w:bookmarkEnd w:id="50"/>
    <w:bookmarkStart w:id="51" w:name="X541c7ba1e45fefd78ed45f3e7c1c78fcae0c114"/>
    <w:p>
      <w:pPr>
        <w:pStyle w:val="Heading3"/>
      </w:pPr>
      <w:r>
        <w:t xml:space="preserve">Пример CSV‑строки для SRS‑deck (готово для вставки в приложение)</w:t>
      </w:r>
    </w:p>
    <w:p>
      <w:pPr>
        <w:pStyle w:val="SourceCode"/>
      </w:pPr>
      <w:r>
        <w:rPr>
          <w:rStyle w:val="VerbatimChar"/>
        </w:rPr>
        <w:t xml:space="preserve">deck,front,back,tags</w:t>
      </w:r>
      <w:r>
        <w:br/>
      </w:r>
      <w:r>
        <w:rPr>
          <w:rStyle w:val="VerbatimChar"/>
        </w:rPr>
        <w:t xml:space="preserve">samasa,Определи класс: meghaśyāmaḥ,Класс: tatpuruṣa (karmadhāraya, upamāna). Vigraha: megha iva śyāmaḥ [kṛṣṇaḥ]. Перевод: «[Кришна], тёмносиний, как туча».,karmadharya upamana</w:t>
      </w:r>
    </w:p>
    <w:bookmarkEnd w:id="51"/>
    <w:bookmarkEnd w:id="52"/>
    <w:bookmarkStart w:id="57" w:name="X67dbc3fc2577e97d731aafd8831ec23824b832a"/>
    <w:p>
      <w:pPr>
        <w:pStyle w:val="Heading2"/>
      </w:pPr>
      <w:r>
        <w:t xml:space="preserve">Редакторские стандарты и контроль качества ссылок</w:t>
      </w:r>
    </w:p>
    <w:bookmarkStart w:id="54" w:name="X93584ab01ada1a07f1f1673cbe64bbabc34373f"/>
    <w:p>
      <w:pPr>
        <w:pStyle w:val="Heading3"/>
      </w:pPr>
      <w:r>
        <w:t xml:space="preserve">Исправление ссылок на Панини и “узлы ссылок”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Исправить на стр. 18:</w:t>
      </w:r>
      <w:r>
        <w:t xml:space="preserve"> </w:t>
      </w:r>
      <w:r>
        <w:rPr>
          <w:rStyle w:val="VerbatimChar"/>
        </w:rPr>
        <w:t xml:space="preserve">Pāṇ. 2.1.51 upamānāni sāmānyavacanaiḥ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Pāṇ. 2.1.55 upamānāni sāmānyavacanaiḥ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Закрепить dvigu‑ссылки на стр. 21:</w:t>
      </w:r>
      <w:r>
        <w:t xml:space="preserve"> </w:t>
      </w:r>
      <w:r>
        <w:t xml:space="preserve">2.1.51 + 2.1.52 как пару.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Для viśeṣaṇa‑karmadhāraya в структурных местах</w:t>
      </w:r>
      <w:r>
        <w:t xml:space="preserve"> </w:t>
      </w:r>
      <w:r>
        <w:t xml:space="preserve">(обычно где вы даёте “общую дефиницию”): добавить 2.1.57 как стандартный якорь “viśeṣaṇaṃ viśeṣyeṇa bahulam”.</w:t>
      </w:r>
      <w:r>
        <w:t xml:space="preserve"> </w:t>
      </w:r>
      <w:hyperlink r:id="rId53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Для avyayībhāva</w:t>
      </w:r>
      <w:r>
        <w:t xml:space="preserve">: 2.1.6 как “сутра‑контейнер значений”.</w:t>
      </w:r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Для samāhāra‑dvandva</w:t>
      </w:r>
      <w:r>
        <w:t xml:space="preserve">: 2.4.2 (единственное число для “частей живого/ансамбля/войска”) и 2.4.17 (neuter).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</w:p>
    <w:p>
      <w:pPr>
        <w:pStyle w:val="FirstParagraph"/>
      </w:pPr>
      <w:r>
        <w:rPr>
          <w:b/>
          <w:bCs/>
        </w:rPr>
        <w:t xml:space="preserve">Практическая ремарка про ashtadhyayi.com:</w:t>
      </w:r>
      <w:r>
        <w:t xml:space="preserve"> </w:t>
      </w:r>
      <w:r>
        <w:t xml:space="preserve">в текущей среде мне не удалось стабильно открыть страницы ashtadhyayi.com (технический статус‑код), поэтому для проверяемых ссылок я опирался на страницы сутр в SanskritDictionary. При этом вы всё равно можете вставлять ссылки вида</w:t>
      </w:r>
      <w:r>
        <w:t xml:space="preserve"> </w:t>
      </w:r>
      <w:r>
        <w:rPr>
          <w:rStyle w:val="VerbatimChar"/>
        </w:rPr>
        <w:t xml:space="preserve">https://ashtadhyayi.com/sutraani/2/1/55</w:t>
      </w:r>
      <w:r>
        <w:t xml:space="preserve"> </w:t>
      </w:r>
      <w:r>
        <w:t xml:space="preserve">как “основные”, а SanskritDictionary — как резервные.</w:t>
      </w:r>
    </w:p>
    <w:bookmarkEnd w:id="54"/>
    <w:bookmarkStart w:id="55" w:name="кавычки-и-глоссирование-единое-правило"/>
    <w:p>
      <w:pPr>
        <w:pStyle w:val="Heading3"/>
      </w:pPr>
      <w:r>
        <w:t xml:space="preserve">Кавычки и глоссирование (единое правило)</w:t>
      </w:r>
    </w:p>
    <w:p>
      <w:pPr>
        <w:pStyle w:val="FirstParagraph"/>
      </w:pPr>
      <w:r>
        <w:rPr>
          <w:b/>
          <w:bCs/>
        </w:rPr>
        <w:t xml:space="preserve">Рекомендованное правило (и вставка в редакторскую памятку):</w:t>
      </w:r>
      <w:r>
        <w:t xml:space="preserve"> </w:t>
      </w:r>
      <w:r>
        <w:t xml:space="preserve">- Sanskrit (IAST) —</w:t>
      </w:r>
      <w:r>
        <w:t xml:space="preserve"> </w:t>
      </w:r>
      <w:r>
        <w:rPr>
          <w:i/>
          <w:iCs/>
        </w:rPr>
        <w:t xml:space="preserve">курсивом</w:t>
      </w:r>
      <w:r>
        <w:br/>
      </w:r>
      <w:r>
        <w:t xml:space="preserve">- глосса/значение отдельного слова — в ‘одинарных кавычках’</w:t>
      </w:r>
      <w:r>
        <w:br/>
      </w:r>
      <w:r>
        <w:t xml:space="preserve">- перевод примера/фразы — в «ёлочках»</w:t>
      </w:r>
    </w:p>
    <w:p>
      <w:pPr>
        <w:pStyle w:val="BodyText"/>
      </w:pPr>
      <w:r>
        <w:t xml:space="preserve">Это приведёт оформление к общим конвенциям межлинейного глоссирования (Leipzig Glossing Rules) и уберёт смешанные кавычки типа</w:t>
      </w:r>
      <w:r>
        <w:t xml:space="preserve"> </w:t>
      </w:r>
      <w:r>
        <w:rPr>
          <w:rStyle w:val="VerbatimChar"/>
        </w:rPr>
        <w:t xml:space="preserve">‘рука"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</w:p>
    <w:bookmarkEnd w:id="55"/>
    <w:bookmarkStart w:id="56" w:name="формат-записи-samāsavigraha-шаблон"/>
    <w:p>
      <w:pPr>
        <w:pStyle w:val="Heading3"/>
      </w:pPr>
      <w:r>
        <w:t xml:space="preserve">Формат записи samāsa–vigraha (шаблон)</w:t>
      </w:r>
    </w:p>
    <w:p>
      <w:pPr>
        <w:pStyle w:val="FirstParagraph"/>
      </w:pPr>
      <w:r>
        <w:rPr>
          <w:b/>
          <w:bCs/>
        </w:rPr>
        <w:t xml:space="preserve">Рекомендуемый “двухслойный” стандарт:</w:t>
      </w:r>
      <w:r>
        <w:t xml:space="preserve"> </w:t>
      </w:r>
      <w:r>
        <w:t xml:space="preserve">1) в основном тексте: компактно</w:t>
      </w:r>
      <w:r>
        <w:br/>
      </w:r>
      <w:r>
        <w:t xml:space="preserve">2) в учебных рамках: добавлять покомпонентную глоссу (только где реально нужно)</w:t>
      </w:r>
    </w:p>
    <w:p>
      <w:pPr>
        <w:pStyle w:val="BodyText"/>
      </w:pPr>
      <w:r>
        <w:rPr>
          <w:b/>
          <w:bCs/>
        </w:rPr>
        <w:t xml:space="preserve">Вставляемый шаблон:</w:t>
      </w:r>
    </w:p>
    <w:p>
      <w:pPr>
        <w:pStyle w:val="SourceCode"/>
      </w:pPr>
      <w:r>
        <w:rPr>
          <w:rStyle w:val="VerbatimChar"/>
        </w:rPr>
        <w:t xml:space="preserve">[Пример T-0XX] samāsa: vigraha — «перевод»</w:t>
      </w:r>
      <w:r>
        <w:br/>
      </w:r>
      <w:r>
        <w:rPr>
          <w:rStyle w:val="VerbatimChar"/>
        </w:rPr>
        <w:t xml:space="preserve">(опционально, учебная рамка) samāsa: A ‘…’ + связка + B ‘…’ (+ [внешний референт]) — «перевод»</w:t>
      </w:r>
      <w:r>
        <w:br/>
      </w:r>
      <w:r>
        <w:rPr>
          <w:rStyle w:val="VerbatimChar"/>
        </w:rPr>
        <w:t xml:space="preserve">[Источник: …]</w:t>
      </w:r>
      <w:r>
        <w:br/>
      </w:r>
      <w:r>
        <w:rPr>
          <w:rStyle w:val="VerbatimChar"/>
        </w:rPr>
        <w:t xml:space="preserve">[Сутра(ы): …]</w:t>
      </w:r>
    </w:p>
    <w:bookmarkEnd w:id="56"/>
    <w:bookmarkEnd w:id="57"/>
    <w:bookmarkStart w:id="66" w:name="Xaeb1dab7ff27d6b2c3f7f1162ca02efd3c903cd"/>
    <w:p>
      <w:pPr>
        <w:pStyle w:val="Heading2"/>
      </w:pPr>
      <w:r>
        <w:t xml:space="preserve">Инструменты и рабочий процесс для следующей порции файлов</w:t>
      </w:r>
    </w:p>
    <w:bookmarkStart w:id="59" w:name="Xe441b7eea14ae2c74005c224ccae9853a4b8379"/>
    <w:p>
      <w:pPr>
        <w:pStyle w:val="Heading3"/>
      </w:pPr>
      <w:r>
        <w:t xml:space="preserve">Что уже есть в первой порции и стоит включить в “Инструменты”</w:t>
      </w:r>
    </w:p>
    <w:p>
      <w:pPr>
        <w:pStyle w:val="Compact"/>
        <w:numPr>
          <w:ilvl w:val="0"/>
          <w:numId w:val="1009"/>
        </w:numPr>
      </w:pPr>
      <w:r>
        <w:t xml:space="preserve">Генератор композитов UoHyd (Samastapadavyutpaadikaa): принимает аналитический vigraha и показывает процесс генерации (с ограничениями: в основном бинарные композиты, без акцента и т. п.).</w:t>
      </w:r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09"/>
        </w:numPr>
      </w:pPr>
      <w:r>
        <w:t xml:space="preserve">Документация платформы Saṃsādhanī (список инструментов анализа санскрита, включая compound‑related сервисы).</w:t>
      </w:r>
      <w:r>
        <w:t xml:space="preserve"> </w:t>
      </w:r>
      <w:hyperlink r:id="rId58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9"/>
        </w:numPr>
      </w:pPr>
      <w:r>
        <w:t xml:space="preserve">DCS как корпус для лемм/контекстов/коллокаций.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9"/>
        </w:numPr>
      </w:pPr>
      <w:r>
        <w:t xml:space="preserve">GRETIL как репозиторий e‑texts для расширения вашего подкорпуса.</w:t>
      </w:r>
      <w:r>
        <w:t xml:space="preserve"> </w:t>
      </w:r>
      <w:hyperlink r:id="rId38">
        <w:r>
          <w:rPr>
            <w:rStyle w:val="Hyperlink"/>
          </w:rPr>
          <w:t xml:space="preserve">[19]</w:t>
        </w:r>
      </w:hyperlink>
    </w:p>
    <w:bookmarkEnd w:id="59"/>
    <w:bookmarkStart w:id="60" w:name="X1a4598a246fdc41c44255cdb0c62eb391baf914"/>
    <w:p>
      <w:pPr>
        <w:pStyle w:val="Heading3"/>
      </w:pPr>
      <w:r>
        <w:t xml:space="preserve">Какие данные нужно собрать в следующей порции (если хотите реальную “частотность по конспекту”)</w:t>
      </w:r>
    </w:p>
    <w:p>
      <w:pPr>
        <w:pStyle w:val="FirstParagraph"/>
      </w:pPr>
      <w:r>
        <w:t xml:space="preserve">1) таблицу с вашими примерами (или просто все примеры в одном месте) — чтобы можно было автоматом извлечь samāsa/​vigraha/​источник/​класс;</w:t>
      </w:r>
      <w:r>
        <w:br/>
      </w:r>
      <w:r>
        <w:t xml:space="preserve">2) список “ключевых лемм” (например, 50–100), для которых вы хотите частоты/коллокации;</w:t>
      </w:r>
      <w:r>
        <w:br/>
      </w:r>
      <w:r>
        <w:t xml:space="preserve">3) приоритетные жанры (эпос/ка̄вья/шастра), если вы планируете отдельные подкорпуса в Sketch Engine.</w:t>
      </w:r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</w:p>
    <w:bookmarkEnd w:id="60"/>
    <w:bookmarkStart w:id="65" w:name="Xdb3c955ed693a0aa237ab24d36012ed49a6843e"/>
    <w:p>
      <w:pPr>
        <w:pStyle w:val="Heading3"/>
      </w:pPr>
      <w:r>
        <w:t xml:space="preserve">Скрипты/команды для извлечения структуры и контроля ссылок (шаблоны)</w:t>
      </w:r>
    </w:p>
    <w:p>
      <w:pPr>
        <w:pStyle w:val="FirstParagraph"/>
      </w:pPr>
      <w:r>
        <w:t xml:space="preserve">Ниже —</w:t>
      </w:r>
      <w:r>
        <w:t xml:space="preserve"> </w:t>
      </w:r>
      <w:r>
        <w:rPr>
          <w:b/>
          <w:bCs/>
        </w:rPr>
        <w:t xml:space="preserve">минимальный набор</w:t>
      </w:r>
      <w:r>
        <w:t xml:space="preserve"> </w:t>
      </w:r>
      <w:r>
        <w:t xml:space="preserve">команд, которые вы можете использовать при поступлении следующей порции файлов (DOCX/PDF/доп. таблиц). Это не “финальный софт”, а воспроизводимый рабочий рецепт.</w:t>
      </w:r>
    </w:p>
    <w:bookmarkStart w:id="61" w:name="извлечь-оглавлениезаголовки-из-docx"/>
    <w:p>
      <w:pPr>
        <w:pStyle w:val="Heading4"/>
      </w:pPr>
      <w:r>
        <w:t xml:space="preserve">Извлечь оглавление/заголовки из DOCX</w:t>
      </w:r>
    </w:p>
    <w:p>
      <w:pPr>
        <w:pStyle w:val="SourceCode"/>
      </w:pPr>
      <w:r>
        <w:rPr>
          <w:rStyle w:val="VerbatimChar"/>
        </w:rPr>
        <w:t xml:space="preserve">from docx import Document</w:t>
      </w:r>
      <w:r>
        <w:br/>
      </w:r>
      <w:r>
        <w:br/>
      </w:r>
      <w:r>
        <w:rPr>
          <w:rStyle w:val="VerbatimChar"/>
        </w:rPr>
        <w:t xml:space="preserve">doc = Document("SAMASA_Leitan okonchatelnaya versiya 25.03.2026_corr. 12.30.docx")</w:t>
      </w:r>
      <w:r>
        <w:br/>
      </w:r>
      <w:r>
        <w:br/>
      </w:r>
      <w:r>
        <w:rPr>
          <w:rStyle w:val="VerbatimChar"/>
        </w:rPr>
        <w:t xml:space="preserve">for p in doc.paragraphs:</w:t>
      </w:r>
      <w:r>
        <w:br/>
      </w:r>
      <w:r>
        <w:rPr>
          <w:rStyle w:val="VerbatimChar"/>
        </w:rPr>
        <w:t xml:space="preserve">    if p.style.name.startswith("Heading"):</w:t>
      </w:r>
      <w:r>
        <w:br/>
      </w:r>
      <w:r>
        <w:rPr>
          <w:rStyle w:val="VerbatimChar"/>
        </w:rPr>
        <w:t xml:space="preserve">        print(p.style.name, p.text.strip())</w:t>
      </w:r>
    </w:p>
    <w:bookmarkEnd w:id="61"/>
    <w:bookmarkStart w:id="62" w:name="Xdb4fcf2963c20c9664334a4727282dcd23adca6"/>
    <w:p>
      <w:pPr>
        <w:pStyle w:val="Heading4"/>
      </w:pPr>
      <w:r>
        <w:t xml:space="preserve">Найти все упоминания “Pāṇ./Пан.” и номера сутр (lint‑список)</w:t>
      </w:r>
    </w:p>
    <w:p>
      <w:pPr>
        <w:pStyle w:val="SourceCode"/>
      </w:pP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from docx import Document</w:t>
      </w:r>
      <w:r>
        <w:br/>
      </w:r>
      <w:r>
        <w:br/>
      </w:r>
      <w:r>
        <w:rPr>
          <w:rStyle w:val="VerbatimChar"/>
        </w:rPr>
        <w:t xml:space="preserve">doc = Document("SAMASA_Leitan okonchatelnaya versiya 25.03.2026_corr. 12.30.docx")</w:t>
      </w:r>
      <w:r>
        <w:br/>
      </w:r>
      <w:r>
        <w:rPr>
          <w:rStyle w:val="VerbatimChar"/>
        </w:rPr>
        <w:t xml:space="preserve">pat = re.compile(r"(Pāṇ\.|Пан\.)\s*\d+\.\d+\.\d+|\b\d+\.\d+\.\d+\b")</w:t>
      </w:r>
      <w:r>
        <w:br/>
      </w:r>
      <w:r>
        <w:br/>
      </w:r>
      <w:r>
        <w:rPr>
          <w:rStyle w:val="VerbatimChar"/>
        </w:rPr>
        <w:t xml:space="preserve">hits = []</w:t>
      </w:r>
      <w:r>
        <w:br/>
      </w:r>
      <w:r>
        <w:rPr>
          <w:rStyle w:val="VerbatimChar"/>
        </w:rPr>
        <w:t xml:space="preserve">for i,p in enumerate(doc.paragraphs):</w:t>
      </w:r>
      <w:r>
        <w:br/>
      </w:r>
      <w:r>
        <w:rPr>
          <w:rStyle w:val="VerbatimChar"/>
        </w:rPr>
        <w:t xml:space="preserve">    m = pat.findall(p.text)</w:t>
      </w:r>
      <w:r>
        <w:br/>
      </w:r>
      <w:r>
        <w:rPr>
          <w:rStyle w:val="VerbatimChar"/>
        </w:rPr>
        <w:t xml:space="preserve">    if m:</w:t>
      </w:r>
      <w:r>
        <w:br/>
      </w:r>
      <w:r>
        <w:rPr>
          <w:rStyle w:val="VerbatimChar"/>
        </w:rPr>
        <w:t xml:space="preserve">        hits.append((i, p.text.strip()))</w:t>
      </w:r>
      <w:r>
        <w:br/>
      </w:r>
      <w:r>
        <w:br/>
      </w:r>
      <w:r>
        <w:rPr>
          <w:rStyle w:val="VerbatimChar"/>
        </w:rPr>
        <w:t xml:space="preserve">for i,txt in hits:</w:t>
      </w:r>
      <w:r>
        <w:br/>
      </w:r>
      <w:r>
        <w:rPr>
          <w:rStyle w:val="VerbatimChar"/>
        </w:rPr>
        <w:t xml:space="preserve">    print(i, txt)</w:t>
      </w:r>
    </w:p>
    <w:bookmarkEnd w:id="62"/>
    <w:bookmarkStart w:id="63" w:name="X02061b2d3c93e0a22856705a8625c86efc5d79d"/>
    <w:p>
      <w:pPr>
        <w:pStyle w:val="Heading4"/>
      </w:pPr>
      <w:r>
        <w:t xml:space="preserve">Вытащить “кандидатов примеров” samāsa:vigraha—перевод</w:t>
      </w:r>
    </w:p>
    <w:p>
      <w:pPr>
        <w:pStyle w:val="SourceCode"/>
      </w:pPr>
      <w:r>
        <w:rPr>
          <w:rStyle w:val="VerbatimChar"/>
        </w:rPr>
        <w:t xml:space="preserve">import re</w:t>
      </w:r>
      <w:r>
        <w:br/>
      </w:r>
      <w:r>
        <w:rPr>
          <w:rStyle w:val="VerbatimChar"/>
        </w:rPr>
        <w:t xml:space="preserve">from docx import Document</w:t>
      </w:r>
      <w:r>
        <w:br/>
      </w:r>
      <w:r>
        <w:br/>
      </w:r>
      <w:r>
        <w:rPr>
          <w:rStyle w:val="VerbatimChar"/>
        </w:rPr>
        <w:t xml:space="preserve">doc = Document("SAMASA_Leitan okonchatelnaya versiya 25.03.2026_corr. 12.30.docx")</w:t>
      </w:r>
      <w:r>
        <w:br/>
      </w:r>
      <w:r>
        <w:rPr>
          <w:rStyle w:val="VerbatimChar"/>
        </w:rPr>
        <w:t xml:space="preserve">ex = []</w:t>
      </w:r>
      <w:r>
        <w:br/>
      </w:r>
      <w:r>
        <w:rPr>
          <w:rStyle w:val="VerbatimChar"/>
        </w:rPr>
        <w:t xml:space="preserve">pat = re.compile(r"^([A-Za-zāīūṛṝḷṃṅñṭḍṇśṣḥ\-]+)\s*:\s*(.+?)\s*—\s*[«\"](.+)[»\"]")</w:t>
      </w:r>
      <w:r>
        <w:br/>
      </w:r>
      <w:r>
        <w:br/>
      </w:r>
      <w:r>
        <w:rPr>
          <w:rStyle w:val="VerbatimChar"/>
        </w:rPr>
        <w:t xml:space="preserve">for p in doc.paragraphs:</w:t>
      </w:r>
      <w:r>
        <w:br/>
      </w:r>
      <w:r>
        <w:rPr>
          <w:rStyle w:val="VerbatimChar"/>
        </w:rPr>
        <w:t xml:space="preserve">    t = p.text.strip()</w:t>
      </w:r>
      <w:r>
        <w:br/>
      </w:r>
      <w:r>
        <w:rPr>
          <w:rStyle w:val="VerbatimChar"/>
        </w:rPr>
        <w:t xml:space="preserve">    m = pat.match(t)</w:t>
      </w:r>
      <w:r>
        <w:br/>
      </w:r>
      <w:r>
        <w:rPr>
          <w:rStyle w:val="VerbatimChar"/>
        </w:rPr>
        <w:t xml:space="preserve">    if m:</w:t>
      </w:r>
      <w:r>
        <w:br/>
      </w:r>
      <w:r>
        <w:rPr>
          <w:rStyle w:val="VerbatimChar"/>
        </w:rPr>
        <w:t xml:space="preserve">        ex.append(m.groups())</w:t>
      </w:r>
      <w:r>
        <w:br/>
      </w:r>
      <w:r>
        <w:br/>
      </w:r>
      <w:r>
        <w:rPr>
          <w:rStyle w:val="VerbatimChar"/>
        </w:rPr>
        <w:t xml:space="preserve">print("Found:", len(ex))</w:t>
      </w:r>
    </w:p>
    <w:bookmarkEnd w:id="63"/>
    <w:bookmarkStart w:id="64" w:name="Xe29b0b762beaa4f30e2826ddaef9eb03727f664"/>
    <w:p>
      <w:pPr>
        <w:pStyle w:val="Heading4"/>
      </w:pPr>
      <w:r>
        <w:t xml:space="preserve">Экспорт в CSV (для указателей, частотности, SRS‑deck)</w:t>
      </w:r>
    </w:p>
    <w:p>
      <w:pPr>
        <w:pStyle w:val="SourceCode"/>
      </w:pPr>
      <w:r>
        <w:rPr>
          <w:rStyle w:val="VerbatimChar"/>
        </w:rPr>
        <w:t xml:space="preserve">import csv</w:t>
      </w:r>
      <w:r>
        <w:br/>
      </w:r>
      <w:r>
        <w:br/>
      </w:r>
      <w:r>
        <w:rPr>
          <w:rStyle w:val="VerbatimChar"/>
        </w:rPr>
        <w:t xml:space="preserve">with open("samasa_examples.csv","w",newline="",encoding="utf-8") as f:</w:t>
      </w:r>
      <w:r>
        <w:br/>
      </w:r>
      <w:r>
        <w:rPr>
          <w:rStyle w:val="VerbatimChar"/>
        </w:rPr>
        <w:t xml:space="preserve">    w = csv.writer(f)</w:t>
      </w:r>
      <w:r>
        <w:br/>
      </w:r>
      <w:r>
        <w:rPr>
          <w:rStyle w:val="VerbatimChar"/>
        </w:rPr>
        <w:t xml:space="preserve">    w.writerow(["ExampleID","SectionID","Samasa","Vigraha","TranslationRU","SutraRefs","SourceTag"])</w:t>
      </w:r>
      <w:r>
        <w:br/>
      </w:r>
      <w:r>
        <w:rPr>
          <w:rStyle w:val="VerbatimChar"/>
        </w:rPr>
        <w:t xml:space="preserve">    # далее: заполнение из ex + ручные поля ExampleID/SectionID/SourceTag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Методологическое обоснование workflow:</w:t>
      </w:r>
      <w:r>
        <w:t xml:space="preserve"> </w:t>
      </w:r>
      <w:r>
        <w:t xml:space="preserve">современные корпусные платформы поддерживают разные уровни представления (форма/лемма/контекст/коллокации), и именно эти уровни вы хотите встроить в конспект как приложения и указатели; в частности, DCS даёт поиск лексем и их коллокаций, а Sketch Engine документирует “word sketches” как компактный интерфейс для коллокаций.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</w:p>
    <w:bookmarkEnd w:id="64"/>
    <w:bookmarkEnd w:id="65"/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Pāṇini 2.1.51</w:t>
      </w:r>
    </w:p>
    <w:p>
      <w:pPr>
        <w:pStyle w:val="BodyText"/>
      </w:pPr>
      <w:hyperlink r:id="rId21">
        <w:r>
          <w:rPr>
            <w:rStyle w:val="Hyperlink"/>
          </w:rPr>
          <w:t xml:space="preserve">https://sanskritdictionary.com/panini/2-1-51?utm_source=chatgpt.com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[15]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Samastapadavyutpaadikaa</w:t>
      </w:r>
    </w:p>
    <w:p>
      <w:pPr>
        <w:pStyle w:val="BodyText"/>
      </w:pPr>
      <w:hyperlink r:id="rId22">
        <w:r>
          <w:rPr>
            <w:rStyle w:val="Hyperlink"/>
          </w:rPr>
          <w:t xml:space="preserve">https://sanskrit.uohyd.ac.in/scl/skt_gen/compounds/index.html?utm_source=chatgpt.com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Dept. of Linguistics | Resources | Glossing Rules</w:t>
      </w:r>
    </w:p>
    <w:p>
      <w:pPr>
        <w:pStyle w:val="BodyText"/>
      </w:pPr>
      <w:hyperlink r:id="rId23">
        <w:r>
          <w:rPr>
            <w:rStyle w:val="Hyperlink"/>
          </w:rPr>
          <w:t xml:space="preserve">https://www.eva.mpg.de/lingua/resources/glossing-rules.php?branch_used=true&amp;utm_source=chatgpt.com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Pāṇini 2.1.55</w:t>
      </w:r>
    </w:p>
    <w:p>
      <w:pPr>
        <w:pStyle w:val="BodyText"/>
      </w:pPr>
      <w:hyperlink r:id="rId24">
        <w:r>
          <w:rPr>
            <w:rStyle w:val="Hyperlink"/>
          </w:rPr>
          <w:t xml:space="preserve">https://sanskritdictionary.com/panini/2-1-55?utm_source=chatgpt.com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(PDF) The Effects of Spaced Practice on Second Language Learning: A Meta‐Analysis</w:t>
      </w:r>
    </w:p>
    <w:p>
      <w:pPr>
        <w:pStyle w:val="BodyText"/>
      </w:pPr>
      <w:hyperlink r:id="rId26">
        <w:r>
          <w:rPr>
            <w:rStyle w:val="Hyperlink"/>
          </w:rPr>
          <w:t xml:space="preserve">https://www.researchgate.net/publication/358406370_The_Effects_of_Spaced_Practice_on_Second_Language_Learning_A_Meta-Analysis?utm_source=chatgpt.com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Compound Type Identification in Sanskrit: What Roles do the Corpus and Grammar Play? - ACL Anthology</w:t>
      </w:r>
    </w:p>
    <w:p>
      <w:pPr>
        <w:pStyle w:val="BodyText"/>
      </w:pPr>
      <w:hyperlink r:id="rId27">
        <w:r>
          <w:rPr>
            <w:rStyle w:val="Hyperlink"/>
          </w:rPr>
          <w:t xml:space="preserve">https://aclanthology.org/W16-3701/?utm_source=chatgpt.com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Clues from As.t.¯adhy¯ay¯ı for compound type</w:t>
      </w:r>
    </w:p>
    <w:p>
      <w:pPr>
        <w:pStyle w:val="BodyText"/>
      </w:pPr>
      <w:hyperlink r:id="rId28">
        <w:r>
          <w:rPr>
            <w:rStyle w:val="Hyperlink"/>
          </w:rPr>
          <w:t xml:space="preserve">https://sanskrit.uohyd.ac.in/faculty/amba/PUBLICATIONS/papers/scti-5scls.pdf?utm_source=chatgpt.com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0">
        <w:r>
          <w:rPr>
            <w:rStyle w:val="Hyperlink"/>
          </w:rPr>
          <w:t xml:space="preserve">[18]</w:t>
        </w:r>
      </w:hyperlink>
      <w:r>
        <w:t xml:space="preserve"> </w:t>
      </w:r>
      <w:hyperlink r:id="rId3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Pāṇini 2.1.6</w:t>
      </w:r>
    </w:p>
    <w:p>
      <w:pPr>
        <w:pStyle w:val="BodyText"/>
      </w:pPr>
      <w:hyperlink r:id="rId30">
        <w:r>
          <w:rPr>
            <w:rStyle w:val="Hyperlink"/>
          </w:rPr>
          <w:t xml:space="preserve">https://sanskritdictionary.com/panini/2-1-6?utm_source=chatgpt.com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Pāṇini 2.4.2</w:t>
      </w:r>
    </w:p>
    <w:p>
      <w:pPr>
        <w:pStyle w:val="BodyText"/>
      </w:pPr>
      <w:hyperlink r:id="rId31">
        <w:r>
          <w:rPr>
            <w:rStyle w:val="Hyperlink"/>
          </w:rPr>
          <w:t xml:space="preserve">https://sanskritdictionary.com/panini/2-4-2?utm_source=chatgpt.com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Digital Corpus of Sanskrit - The Digital Classicist Wiki</w:t>
      </w:r>
    </w:p>
    <w:p>
      <w:pPr>
        <w:pStyle w:val="BodyText"/>
      </w:pPr>
      <w:hyperlink r:id="rId36">
        <w:r>
          <w:rPr>
            <w:rStyle w:val="Hyperlink"/>
          </w:rPr>
          <w:t xml:space="preserve">https://wiki.digitalclassicist.org/Digital_Corpus_of_Sanskrit?utm_source=chatgpt.com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GRETIL - Göttingen Register of Electronic Texts in Indian Languages</w:t>
      </w:r>
    </w:p>
    <w:p>
      <w:pPr>
        <w:pStyle w:val="BodyText"/>
      </w:pPr>
      <w:hyperlink r:id="rId38">
        <w:r>
          <w:rPr>
            <w:rStyle w:val="Hyperlink"/>
          </w:rPr>
          <w:t xml:space="preserve">https://gretil.sub.uni-goettingen.de/gretil.html?utm_source=chatgpt.com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[21]</w:t>
        </w:r>
      </w:hyperlink>
      <w:r>
        <w:t xml:space="preserve"> </w:t>
      </w:r>
      <w:hyperlink r:id="rId3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word sketch | Sketch Engine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https://www.sketchengine.eu/doc/word-sketch/?utm_source=chatgpt.com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Pāṇini 2.1.57</w:t>
      </w:r>
    </w:p>
    <w:p>
      <w:pPr>
        <w:pStyle w:val="BodyText"/>
      </w:pPr>
      <w:hyperlink r:id="rId53">
        <w:r>
          <w:rPr>
            <w:rStyle w:val="Hyperlink"/>
          </w:rPr>
          <w:t xml:space="preserve">https://sanskritdictionary.com/panini/2-1-57?utm_source=chatgpt.com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Overview - Samsaadhanii Docs</w:t>
      </w:r>
    </w:p>
    <w:p>
      <w:pPr>
        <w:pStyle w:val="BodyText"/>
      </w:pPr>
      <w:hyperlink r:id="rId58">
        <w:r>
          <w:rPr>
            <w:rStyle w:val="Hyperlink"/>
          </w:rPr>
          <w:t xml:space="preserve">https://sanskrit.uohyd.ac.in/manual/?utm_source=chatgpt.com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aclanthology.org/W16-3701/?utm_source=chatgpt.com" TargetMode="External" /><Relationship Type="http://schemas.openxmlformats.org/officeDocument/2006/relationships/hyperlink" Id="rId38" Target="https://gretil.sub.uni-goettingen.de/gretil.html?utm_source=chatgpt.com" TargetMode="External" /><Relationship Type="http://schemas.openxmlformats.org/officeDocument/2006/relationships/hyperlink" Id="rId28" Target="https://sanskrit.uohyd.ac.in/faculty/amba/PUBLICATIONS/papers/scti-5scls.pdf?utm_source=chatgpt.com" TargetMode="External" /><Relationship Type="http://schemas.openxmlformats.org/officeDocument/2006/relationships/hyperlink" Id="rId58" Target="https://sanskrit.uohyd.ac.in/manual/?utm_source=chatgpt.com" TargetMode="External" /><Relationship Type="http://schemas.openxmlformats.org/officeDocument/2006/relationships/hyperlink" Id="rId22" Target="https://sanskrit.uohyd.ac.in/scl/skt_gen/compounds/index.html?utm_source=chatgpt.com" TargetMode="External" /><Relationship Type="http://schemas.openxmlformats.org/officeDocument/2006/relationships/hyperlink" Id="rId21" Target="https://sanskritdictionary.com/panini/2-1-51?utm_source=chatgpt.com" TargetMode="External" /><Relationship Type="http://schemas.openxmlformats.org/officeDocument/2006/relationships/hyperlink" Id="rId24" Target="https://sanskritdictionary.com/panini/2-1-55?utm_source=chatgpt.com" TargetMode="External" /><Relationship Type="http://schemas.openxmlformats.org/officeDocument/2006/relationships/hyperlink" Id="rId53" Target="https://sanskritdictionary.com/panini/2-1-57?utm_source=chatgpt.com" TargetMode="External" /><Relationship Type="http://schemas.openxmlformats.org/officeDocument/2006/relationships/hyperlink" Id="rId30" Target="https://sanskritdictionary.com/panini/2-1-6?utm_source=chatgpt.com" TargetMode="External" /><Relationship Type="http://schemas.openxmlformats.org/officeDocument/2006/relationships/hyperlink" Id="rId31" Target="https://sanskritdictionary.com/panini/2-4-2?utm_source=chatgpt.com" TargetMode="External" /><Relationship Type="http://schemas.openxmlformats.org/officeDocument/2006/relationships/hyperlink" Id="rId36" Target="https://wiki.digitalclassicist.org/Digital_Corpus_of_Sanskrit?utm_source=chatgpt.com" TargetMode="External" /><Relationship Type="http://schemas.openxmlformats.org/officeDocument/2006/relationships/hyperlink" Id="rId23" Target="https://www.eva.mpg.de/lingua/resources/glossing-rules.php?branch_used=true&amp;utm_source=chatgpt.com" TargetMode="External" /><Relationship Type="http://schemas.openxmlformats.org/officeDocument/2006/relationships/hyperlink" Id="rId26" Target="https://www.researchgate.net/publication/358406370_The_Effects_of_Spaced_Practice_on_Second_Language_Learning_A_Meta-Analysis?utm_source=chatgpt.com" TargetMode="External" /><Relationship Type="http://schemas.openxmlformats.org/officeDocument/2006/relationships/hyperlink" Id="rId39" Target="https://www.sketchengine.eu/doc/word-sketch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clanthology.org/W16-3701/?utm_source=chatgpt.com" TargetMode="External" /><Relationship Type="http://schemas.openxmlformats.org/officeDocument/2006/relationships/hyperlink" Id="rId38" Target="https://gretil.sub.uni-goettingen.de/gretil.html?utm_source=chatgpt.com" TargetMode="External" /><Relationship Type="http://schemas.openxmlformats.org/officeDocument/2006/relationships/hyperlink" Id="rId28" Target="https://sanskrit.uohyd.ac.in/faculty/amba/PUBLICATIONS/papers/scti-5scls.pdf?utm_source=chatgpt.com" TargetMode="External" /><Relationship Type="http://schemas.openxmlformats.org/officeDocument/2006/relationships/hyperlink" Id="rId58" Target="https://sanskrit.uohyd.ac.in/manual/?utm_source=chatgpt.com" TargetMode="External" /><Relationship Type="http://schemas.openxmlformats.org/officeDocument/2006/relationships/hyperlink" Id="rId22" Target="https://sanskrit.uohyd.ac.in/scl/skt_gen/compounds/index.html?utm_source=chatgpt.com" TargetMode="External" /><Relationship Type="http://schemas.openxmlformats.org/officeDocument/2006/relationships/hyperlink" Id="rId21" Target="https://sanskritdictionary.com/panini/2-1-51?utm_source=chatgpt.com" TargetMode="External" /><Relationship Type="http://schemas.openxmlformats.org/officeDocument/2006/relationships/hyperlink" Id="rId24" Target="https://sanskritdictionary.com/panini/2-1-55?utm_source=chatgpt.com" TargetMode="External" /><Relationship Type="http://schemas.openxmlformats.org/officeDocument/2006/relationships/hyperlink" Id="rId53" Target="https://sanskritdictionary.com/panini/2-1-57?utm_source=chatgpt.com" TargetMode="External" /><Relationship Type="http://schemas.openxmlformats.org/officeDocument/2006/relationships/hyperlink" Id="rId30" Target="https://sanskritdictionary.com/panini/2-1-6?utm_source=chatgpt.com" TargetMode="External" /><Relationship Type="http://schemas.openxmlformats.org/officeDocument/2006/relationships/hyperlink" Id="rId31" Target="https://sanskritdictionary.com/panini/2-4-2?utm_source=chatgpt.com" TargetMode="External" /><Relationship Type="http://schemas.openxmlformats.org/officeDocument/2006/relationships/hyperlink" Id="rId36" Target="https://wiki.digitalclassicist.org/Digital_Corpus_of_Sanskrit?utm_source=chatgpt.com" TargetMode="External" /><Relationship Type="http://schemas.openxmlformats.org/officeDocument/2006/relationships/hyperlink" Id="rId23" Target="https://www.eva.mpg.de/lingua/resources/glossing-rules.php?branch_used=true&amp;utm_source=chatgpt.com" TargetMode="External" /><Relationship Type="http://schemas.openxmlformats.org/officeDocument/2006/relationships/hyperlink" Id="rId26" Target="https://www.researchgate.net/publication/358406370_The_Effects_of_Spaced_Practice_on_Second_Language_Learning_A_Meta-Analysis?utm_source=chatgpt.com" TargetMode="External" /><Relationship Type="http://schemas.openxmlformats.org/officeDocument/2006/relationships/hyperlink" Id="rId39" Target="https://www.sketchengine.eu/doc/word-sketch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2026-03-26T14:51:28Z</dcterms:created>
  <dcterms:modified xsi:type="dcterms:W3CDTF">2026-03-26T14:51:28Z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