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4F5" w:rsidRDefault="00535C33">
      <w:pPr>
        <w:spacing w:after="60" w:line="276" w:lineRule="auto"/>
        <w:jc w:val="center"/>
      </w:pPr>
      <w:r>
        <w:rPr>
          <w:b/>
          <w:bCs/>
          <w:color w:val="1F3864"/>
          <w:sz w:val="36"/>
          <w:szCs w:val="36"/>
        </w:rPr>
        <w:t>ДОКЛАДНАЯ ЗАПИСКА</w:t>
      </w:r>
    </w:p>
    <w:p w:rsidR="002154F5" w:rsidRDefault="00535C33">
      <w:pPr>
        <w:spacing w:after="20" w:line="276" w:lineRule="auto"/>
        <w:jc w:val="center"/>
      </w:pPr>
      <w:r>
        <w:rPr>
          <w:color w:val="404040"/>
        </w:rPr>
        <w:t>О доработке и расширении указателей к изданию</w:t>
      </w:r>
    </w:p>
    <w:p w:rsidR="002154F5" w:rsidRDefault="00535C33">
      <w:pPr>
        <w:spacing w:after="20" w:line="276" w:lineRule="auto"/>
        <w:jc w:val="center"/>
      </w:pPr>
      <w:r>
        <w:rPr>
          <w:i/>
          <w:iCs/>
          <w:color w:val="404040"/>
        </w:rPr>
        <w:t>А. А. Зализняк. Из жизни слов и языков: Лекции о лингвистике для школьников</w:t>
      </w:r>
    </w:p>
    <w:p w:rsidR="002154F5" w:rsidRDefault="00535C33">
      <w:pPr>
        <w:pStyle w:val="Heading10"/>
        <w:spacing w:line="276" w:lineRule="auto"/>
      </w:pPr>
      <w:r>
        <w:t>1. Постановка вопроса</w:t>
      </w:r>
    </w:p>
    <w:p w:rsidR="002154F5" w:rsidRDefault="00535C33">
      <w:pPr>
        <w:spacing w:after="120" w:line="276" w:lineRule="auto"/>
        <w:ind w:firstLine="400"/>
        <w:jc w:val="both"/>
      </w:pPr>
      <w:r>
        <w:t>Настоящая записка содержит экспертную оценку двух существующих указателей книги (Предметный указатель и Указатель языков, стр. 393–401), а также анализ отвергнутого справочного аппарата С. В. Крылова. Цель — обосновать доработку существующих указателей и в</w:t>
      </w:r>
      <w:r>
        <w:t>ключение дополнительных.</w:t>
      </w:r>
    </w:p>
    <w:p w:rsidR="002154F5" w:rsidRDefault="00535C33">
      <w:pPr>
        <w:pStyle w:val="Heading20"/>
        <w:spacing w:line="276" w:lineRule="auto"/>
      </w:pPr>
      <w:r>
        <w:t>1.1. Издательский стандарт: Мильчин об указателях</w:t>
      </w:r>
    </w:p>
    <w:p w:rsidR="002154F5" w:rsidRDefault="00535C33">
      <w:pPr>
        <w:spacing w:after="120" w:line="276" w:lineRule="auto"/>
        <w:ind w:firstLine="400"/>
        <w:jc w:val="both"/>
      </w:pPr>
      <w:r>
        <w:t xml:space="preserve">Согласно «Справочнику издателя и автора» А. Э. Мильчина и Л. К. Чельцовой (гл. 25–26), </w:t>
      </w:r>
      <w:r>
        <w:rPr>
          <w:i/>
          <w:iCs/>
        </w:rPr>
        <w:t>«каждая справочная, научная, документальная и научно-популярная книга должна быть снабжена ука</w:t>
      </w:r>
      <w:r>
        <w:rPr>
          <w:i/>
          <w:iCs/>
        </w:rPr>
        <w:t>зателем»</w:t>
      </w:r>
      <w:r>
        <w:t xml:space="preserve">. Мильчин подчеркивает: сведения об объекте </w:t>
      </w:r>
      <w:r>
        <w:rPr>
          <w:i/>
          <w:iCs/>
        </w:rPr>
        <w:t>редко сосредоточены в одном месте книги, чаще они разбросаны, а указатель сводит воедино все, что написал автор об интересующем читателя объекте.</w:t>
      </w:r>
      <w:r>
        <w:t xml:space="preserve"> Объем вспомогательных указателей, по Мильчину, может соста</w:t>
      </w:r>
      <w:r>
        <w:t>влять 5–10 % основного текста. Для книги в 400 стр. 5 % = 20 страниц.</w:t>
      </w:r>
    </w:p>
    <w:p w:rsidR="002154F5" w:rsidRDefault="00535C33">
      <w:pPr>
        <w:spacing w:after="120" w:line="276" w:lineRule="auto"/>
        <w:ind w:firstLine="400"/>
        <w:jc w:val="both"/>
      </w:pPr>
      <w:r>
        <w:t xml:space="preserve">Мильчин различает указатели по структуре рубрик: </w:t>
      </w:r>
      <w:r>
        <w:rPr>
          <w:b/>
          <w:bCs/>
        </w:rPr>
        <w:t>глухие (простые)</w:t>
      </w:r>
      <w:r>
        <w:t xml:space="preserve"> — заголовок + ссылки, и </w:t>
      </w:r>
      <w:r>
        <w:rPr>
          <w:b/>
          <w:bCs/>
        </w:rPr>
        <w:t>аналитические</w:t>
      </w:r>
      <w:r>
        <w:t xml:space="preserve"> — с подрубриками, собирающими узкие рубрики в гнезда. Оба существующих указателя к</w:t>
      </w:r>
      <w:r>
        <w:t>ниги — преимущественно глухие, за исключением 9 из 136 статей предметного указателя, имеющих второй уровень через тильду (~). В Указателе языков второй уровень есть только у одной статьи (санскрит ~ эпический).</w:t>
      </w:r>
    </w:p>
    <w:p w:rsidR="002154F5" w:rsidRDefault="00535C33">
      <w:pPr>
        <w:pStyle w:val="Heading20"/>
        <w:spacing w:line="276" w:lineRule="auto"/>
      </w:pPr>
      <w:r>
        <w:t>1.2. Прецедент: указатели в других книгах Зал</w:t>
      </w:r>
      <w:r>
        <w:t>изняка</w:t>
      </w:r>
    </w:p>
    <w:tbl>
      <w:tblPr>
        <w:tblW w:w="907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75"/>
        <w:gridCol w:w="760"/>
        <w:gridCol w:w="1253"/>
        <w:gridCol w:w="1188"/>
        <w:gridCol w:w="3294"/>
      </w:tblGrid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Книга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Стр.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Указатели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Стр. указ.</w:t>
            </w:r>
          </w:p>
        </w:tc>
        <w:tc>
          <w:tcPr>
            <w:tcW w:w="33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Виды указателей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От праславянской акцентуации к русской (1985)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428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~31 (7,2%)</w:t>
            </w:r>
          </w:p>
        </w:tc>
        <w:tc>
          <w:tcPr>
            <w:tcW w:w="33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Указатель слов (27 стр.), Указатель суффиксов (2 стр.), Предметный указатель (2 стр.)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Древненовгородский диалект (2-е изд., 2004)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872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3+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уточн.</w:t>
            </w:r>
          </w:p>
        </w:tc>
        <w:tc>
          <w:tcPr>
            <w:tcW w:w="33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Указатель комментариев (с 2 подразделами), Лексический указатель, Обратный индекс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Древнерусские энклитики (2008)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~280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2+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уточн.</w:t>
            </w:r>
          </w:p>
        </w:tc>
        <w:tc>
          <w:tcPr>
            <w:tcW w:w="33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Предметный указатель, словоуказатель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«Слово о полку Игореве»: взгляд лингвиста (3-е изд., 2008)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428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—</w:t>
            </w:r>
          </w:p>
        </w:tc>
        <w:tc>
          <w:tcPr>
            <w:tcW w:w="33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Указатели отсутствуют (планируется исправить при переиздании)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Труды по акцентологии, т. I–II (2010–2011)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~1200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мн.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т. II целиком</w:t>
            </w:r>
          </w:p>
        </w:tc>
        <w:tc>
          <w:tcPr>
            <w:tcW w:w="33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Акцентологический словарь-указатель (~6500 слов: общий + имена собственные)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 xml:space="preserve">Древнерусское ударение </w:t>
            </w:r>
            <w:r>
              <w:rPr>
                <w:sz w:val="22"/>
                <w:szCs w:val="22"/>
              </w:rPr>
              <w:lastRenderedPageBreak/>
              <w:t>(2014)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lastRenderedPageBreak/>
              <w:t>728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 xml:space="preserve">бо́льшая </w:t>
            </w:r>
            <w:r>
              <w:rPr>
                <w:sz w:val="22"/>
                <w:szCs w:val="22"/>
              </w:rPr>
              <w:lastRenderedPageBreak/>
              <w:t>часть</w:t>
            </w:r>
          </w:p>
        </w:tc>
        <w:tc>
          <w:tcPr>
            <w:tcW w:w="33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lastRenderedPageBreak/>
              <w:t xml:space="preserve">Акцентологический словарь </w:t>
            </w:r>
            <w:r>
              <w:rPr>
                <w:sz w:val="22"/>
                <w:szCs w:val="22"/>
              </w:rPr>
              <w:lastRenderedPageBreak/>
              <w:t>(~12 100 статей)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lastRenderedPageBreak/>
              <w:t>Из жизни слов и языков (2026)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~400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9 (2,3%)</w:t>
            </w:r>
          </w:p>
        </w:tc>
        <w:tc>
          <w:tcPr>
            <w:tcW w:w="33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Предметный (глухой) + Языков (глухой), 9 стр.</w:t>
            </w:r>
          </w:p>
        </w:tc>
      </w:tr>
    </w:tbl>
    <w:p w:rsidR="002154F5" w:rsidRDefault="002154F5">
      <w:pPr>
        <w:spacing w:after="60" w:line="276" w:lineRule="auto"/>
        <w:jc w:val="both"/>
      </w:pPr>
    </w:p>
    <w:p w:rsidR="002154F5" w:rsidRDefault="00535C33">
      <w:pPr>
        <w:spacing w:after="120" w:line="276" w:lineRule="auto"/>
        <w:ind w:firstLine="400"/>
        <w:jc w:val="both"/>
      </w:pPr>
      <w:r>
        <w:rPr>
          <w:b/>
          <w:bCs/>
        </w:rPr>
        <w:t xml:space="preserve">Вывод: </w:t>
      </w:r>
      <w:r>
        <w:t>«Из жизни слов и языков» содержит наиболее скудный справочный аппарат из всех изданий Зализняка — 2,3 % от объема. Для сравнения: «От праславянской акцентуации к русской» — 7,2 %. Научно-популярный формат не понижает, а повышает потребность читателя в нави</w:t>
      </w:r>
      <w:r>
        <w:t>гации.</w:t>
      </w:r>
    </w:p>
    <w:p w:rsidR="002154F5" w:rsidRDefault="00535C33">
      <w:pPr>
        <w:pStyle w:val="Heading10"/>
        <w:spacing w:line="276" w:lineRule="auto"/>
      </w:pPr>
      <w:r>
        <w:t>2. Проблемы существующих указателей</w:t>
      </w:r>
    </w:p>
    <w:p w:rsidR="002154F5" w:rsidRDefault="00535C33">
      <w:pPr>
        <w:pStyle w:val="Heading20"/>
        <w:spacing w:line="276" w:lineRule="auto"/>
      </w:pPr>
      <w:r>
        <w:t>2.1. Предметный указатель: ошибки</w:t>
      </w:r>
    </w:p>
    <w:p w:rsidR="002154F5" w:rsidRDefault="00535C33">
      <w:pPr>
        <w:spacing w:after="120" w:line="276" w:lineRule="auto"/>
        <w:ind w:firstLine="400"/>
        <w:jc w:val="both"/>
      </w:pPr>
      <w:r>
        <w:rPr>
          <w:b/>
          <w:bCs/>
        </w:rPr>
        <w:t xml:space="preserve">Опечатка: </w:t>
      </w:r>
      <w:r>
        <w:t>«изменение языка» — «53, 54, 83–66» (д. б. «83–86»?).</w:t>
      </w:r>
    </w:p>
    <w:p w:rsidR="002154F5" w:rsidRDefault="00535C33">
      <w:pPr>
        <w:spacing w:after="120" w:line="276" w:lineRule="auto"/>
        <w:ind w:firstLine="400"/>
        <w:jc w:val="both"/>
      </w:pPr>
      <w:r>
        <w:rPr>
          <w:b/>
          <w:bCs/>
        </w:rPr>
        <w:t xml:space="preserve">Нарушен порядок страниц: </w:t>
      </w:r>
      <w:r>
        <w:t>«калька, калькирование» — «20, 331, 186».</w:t>
      </w:r>
    </w:p>
    <w:p w:rsidR="002154F5" w:rsidRDefault="00535C33">
      <w:pPr>
        <w:spacing w:after="120" w:line="276" w:lineRule="auto"/>
        <w:ind w:firstLine="400"/>
        <w:jc w:val="both"/>
      </w:pPr>
      <w:r>
        <w:rPr>
          <w:b/>
          <w:bCs/>
        </w:rPr>
        <w:t xml:space="preserve">В Указателе языков: </w:t>
      </w:r>
      <w:r>
        <w:t>«ностратические 232, 180» — 180 после 232.</w:t>
      </w:r>
    </w:p>
    <w:p w:rsidR="002154F5" w:rsidRDefault="00535C33">
      <w:pPr>
        <w:pStyle w:val="Heading20"/>
        <w:spacing w:line="276" w:lineRule="auto"/>
      </w:pPr>
      <w:r>
        <w:t>2.2. Предметный указатель: пропуски</w:t>
      </w:r>
    </w:p>
    <w:p w:rsidR="002154F5" w:rsidRDefault="00535C33">
      <w:pPr>
        <w:spacing w:after="120" w:line="276" w:lineRule="auto"/>
        <w:jc w:val="both"/>
      </w:pPr>
      <w:r>
        <w:t>Пропущены термины, подробно обсуждаемые Зализняком:</w:t>
      </w:r>
    </w:p>
    <w:tbl>
      <w:tblPr>
        <w:tblW w:w="907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2200"/>
        <w:gridCol w:w="4270"/>
      </w:tblGrid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Пропущенный термин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Стр. (по Крылову)</w:t>
            </w:r>
          </w:p>
        </w:tc>
        <w:tc>
          <w:tcPr>
            <w:tcW w:w="42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0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Почему важен для школьника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грамматика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52, 62, 162, 190, 205...</w:t>
            </w:r>
          </w:p>
        </w:tc>
        <w:tc>
          <w:tcPr>
            <w:tcW w:w="42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Базовое понятие всех лекций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корень (слова)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110, 134, 144, 152–154, 206–208...</w:t>
            </w:r>
          </w:p>
        </w:tc>
        <w:tc>
          <w:tcPr>
            <w:tcW w:w="42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Центральное в лекциях о санскрите и арабском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суффикс / окончание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27, 138, 153, 206–209, 289...</w:t>
            </w:r>
          </w:p>
        </w:tc>
        <w:tc>
          <w:tcPr>
            <w:tcW w:w="42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Школьные термины; в книге — на материале 6+ языков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глагол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15, 18, 144, 145, 159, 205, 210...</w:t>
            </w:r>
          </w:p>
        </w:tc>
        <w:tc>
          <w:tcPr>
            <w:tcW w:w="42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Главный объект в лекциях об арабском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падеж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37, 66, 113, 114, 118, 205, 223...</w:t>
            </w:r>
          </w:p>
        </w:tc>
        <w:tc>
          <w:tcPr>
            <w:tcW w:w="42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Показан на материале 6+ языков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склонение / спряжение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84, 108, 118, 122, 123, 200...</w:t>
            </w:r>
          </w:p>
        </w:tc>
        <w:tc>
          <w:tcPr>
            <w:tcW w:w="42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Базовые школьные понятия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фонема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57, 70, 91, 96–105, 119, 139...</w:t>
            </w:r>
          </w:p>
        </w:tc>
        <w:tc>
          <w:tcPr>
            <w:tcW w:w="42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Ключевое для фонетических изменений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предлог / частица / союз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15–17, 113, 118, 226, 295...</w:t>
            </w:r>
          </w:p>
        </w:tc>
        <w:tc>
          <w:tcPr>
            <w:tcW w:w="42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Входят в систему энклитик — лекция 1</w:t>
            </w:r>
          </w:p>
        </w:tc>
      </w:tr>
    </w:tbl>
    <w:p w:rsidR="002154F5" w:rsidRDefault="002154F5">
      <w:pPr>
        <w:spacing w:after="60" w:line="276" w:lineRule="auto"/>
        <w:jc w:val="both"/>
      </w:pPr>
    </w:p>
    <w:p w:rsidR="002154F5" w:rsidRDefault="00535C33">
      <w:pPr>
        <w:pStyle w:val="Heading20"/>
        <w:spacing w:line="276" w:lineRule="auto"/>
      </w:pPr>
      <w:r>
        <w:t>2.3. Указатель языков: пропуски</w:t>
      </w:r>
    </w:p>
    <w:p w:rsidR="002154F5" w:rsidRDefault="00535C33">
      <w:pPr>
        <w:spacing w:after="120" w:line="276" w:lineRule="auto"/>
        <w:ind w:firstLine="400"/>
        <w:jc w:val="both"/>
      </w:pPr>
      <w:r>
        <w:t>Отсутствуют: чукотский (87), скифский (50), новоиндийские (165), библейский (124), курский говор / сибирские / вологодские говоры (190), новозеландский (114), раннероманские (110).</w:t>
      </w:r>
    </w:p>
    <w:p w:rsidR="002154F5" w:rsidRDefault="00535C33">
      <w:pPr>
        <w:pStyle w:val="Heading20"/>
        <w:spacing w:line="276" w:lineRule="auto"/>
      </w:pPr>
      <w:r>
        <w:lastRenderedPageBreak/>
        <w:t>2.4. Структура: глухой указатель vs. аналитический</w:t>
      </w:r>
    </w:p>
    <w:p w:rsidR="002154F5" w:rsidRDefault="00535C33">
      <w:pPr>
        <w:spacing w:after="120" w:line="276" w:lineRule="auto"/>
        <w:ind w:firstLine="400"/>
        <w:jc w:val="both"/>
      </w:pPr>
      <w:r>
        <w:t>Из 136 статей предметног</w:t>
      </w:r>
      <w:r>
        <w:t>о указателя лишь 9 (6,6 %) имеют подрубрики второго уровня. Это статьи: артикль, отпадение конечных гласных, письменность, письмо, реконструкция, сдвиг ударения, ударение (6 подрубрик — наибольшее!), фонетические изменения, энклитики. В Указателе языков по</w:t>
      </w:r>
      <w:r>
        <w:t>друбрика есть только у одной статьи (санскрит ~ эпический).</w:t>
      </w:r>
    </w:p>
    <w:p w:rsidR="002154F5" w:rsidRDefault="00535C33">
      <w:pPr>
        <w:spacing w:after="120" w:line="276" w:lineRule="auto"/>
        <w:ind w:firstLine="400"/>
        <w:jc w:val="both"/>
      </w:pPr>
      <w:r>
        <w:t>Закономерность: подрубрики даны там, где один объект обсуждается в нескольких аспектах и где общая масса ссылок превышает ~10. Именно поэтому «русский» с его четырьмя диапазонами, охватывающими 15</w:t>
      </w:r>
      <w:r>
        <w:t>0+ страниц, нуждается в подрубриках в первую очередь — а их нет. Аналогично — санскрит (40+ страниц) и арабский (25+ страниц).</w:t>
      </w:r>
    </w:p>
    <w:p w:rsidR="002154F5" w:rsidRDefault="00535C33">
      <w:pPr>
        <w:pStyle w:val="Heading10"/>
        <w:spacing w:line="276" w:lineRule="auto"/>
      </w:pPr>
      <w:r>
        <w:t>3. Что ценного в указателях Крылова</w:t>
      </w:r>
    </w:p>
    <w:p w:rsidR="002154F5" w:rsidRDefault="00535C33">
      <w:pPr>
        <w:pStyle w:val="Heading20"/>
        <w:spacing w:line="276" w:lineRule="auto"/>
      </w:pPr>
      <w:r>
        <w:t>3.1. Почему указатели отвергнуты — и справедливо</w:t>
      </w:r>
    </w:p>
    <w:p w:rsidR="002154F5" w:rsidRDefault="00535C33">
      <w:pPr>
        <w:spacing w:after="120" w:line="276" w:lineRule="auto"/>
        <w:ind w:firstLine="400"/>
        <w:jc w:val="both"/>
      </w:pPr>
      <w:r>
        <w:t>Аппарат Крылова: 8 разделов, свыше 11 500 с</w:t>
      </w:r>
      <w:r>
        <w:t>трок (~40–50 печатных страниц). Для книги ~400 стр. неприемлемо. Нотация перегружена (черные ромбики, пометы p/s/b, гипонимные отсылки). Однако материал, собранный Крыловым, ценен как</w:t>
      </w:r>
      <w:r w:rsidR="00FC31D5">
        <w:t xml:space="preserve"> возможный</w:t>
      </w:r>
      <w:r>
        <w:t xml:space="preserve"> источник для</w:t>
      </w:r>
      <w:r w:rsidR="00FC31D5">
        <w:t xml:space="preserve"> окончательной</w:t>
      </w:r>
      <w:r>
        <w:t xml:space="preserve"> доработки.</w:t>
      </w:r>
    </w:p>
    <w:p w:rsidR="002154F5" w:rsidRDefault="00535C33">
      <w:pPr>
        <w:pStyle w:val="Heading20"/>
        <w:spacing w:line="276" w:lineRule="auto"/>
      </w:pPr>
      <w:r>
        <w:t>3.2. Тематические подрубрики: образец и предложе</w:t>
      </w:r>
      <w:r>
        <w:t>ние</w:t>
      </w:r>
    </w:p>
    <w:p w:rsidR="002154F5" w:rsidRDefault="00535C33">
      <w:pPr>
        <w:spacing w:after="120" w:line="276" w:lineRule="auto"/>
        <w:ind w:firstLine="400"/>
        <w:jc w:val="both"/>
      </w:pPr>
      <w:r>
        <w:t xml:space="preserve">Ценнейшая особенность указателей Крылова — тематическая разбивка внутри основных языков (аналитический указатель по Мильчину). Предлагается перенести эти подрубрики </w:t>
      </w:r>
      <w:r>
        <w:rPr>
          <w:b/>
          <w:bCs/>
        </w:rPr>
        <w:t>на основании материала Крылова, в формате, уже используемом составителем (А. А. Зализня</w:t>
      </w:r>
      <w:r>
        <w:rPr>
          <w:b/>
          <w:bCs/>
        </w:rPr>
        <w:t>к)</w:t>
      </w:r>
      <w:r>
        <w:t xml:space="preserve"> — через тильду (~).</w:t>
      </w:r>
    </w:p>
    <w:p w:rsidR="002154F5" w:rsidRDefault="00535C33">
      <w:pPr>
        <w:pStyle w:val="Heading30"/>
        <w:spacing w:line="276" w:lineRule="auto"/>
      </w:pPr>
      <w:r>
        <w:t>Пример: русский язык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>Сейчас в книге: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>русский 14–49, 176–209, 236–271, 322–391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>Предлагается (на основании материала Крылова, в формате А</w:t>
      </w:r>
      <w:r w:rsidR="007E7F5B">
        <w:rPr>
          <w:b/>
          <w:bCs/>
        </w:rPr>
        <w:t>нны</w:t>
      </w:r>
      <w:r>
        <w:rPr>
          <w:b/>
          <w:bCs/>
        </w:rPr>
        <w:t> А. Зализняк):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>русский 14–49, 176–209, 236–271, 322–391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история 6, 8, 14–47, 84, 94, 170–201,</w:t>
      </w:r>
      <w:r>
        <w:rPr>
          <w:rFonts w:ascii="Courier New" w:eastAsia="Courier New" w:hAnsi="Courier New" w:cs="Courier New"/>
          <w:sz w:val="20"/>
          <w:szCs w:val="20"/>
        </w:rPr>
        <w:t xml:space="preserve"> 278, 321, 325–328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ударение 280–315, 363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морфология 280, 281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фонетика 280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носители 143, 281, 282, 322, 356, 362, 376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синтаксис 188, 189, 280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современный 5, 18, 21, 22, 29, 43, 101, 177, 196, 301, 331, 376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vs. санскрит 147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vs. турецкий 181</w:t>
      </w:r>
    </w:p>
    <w:p w:rsidR="002154F5" w:rsidRDefault="00535C33">
      <w:pPr>
        <w:spacing w:after="120" w:line="276" w:lineRule="auto"/>
        <w:ind w:firstLine="400"/>
        <w:jc w:val="both"/>
      </w:pPr>
      <w:r>
        <w:lastRenderedPageBreak/>
        <w:t>Школьник, ищущий «где Зализняк рассказывает про русское ударение», в нынешнем указателе вынужден пролистывать 150+ страниц. С подрубрикой он сразу получает точный диапазон: 280–315.</w:t>
      </w:r>
    </w:p>
    <w:p w:rsidR="002154F5" w:rsidRDefault="00535C33">
      <w:pPr>
        <w:pStyle w:val="Heading30"/>
        <w:spacing w:line="276" w:lineRule="auto"/>
      </w:pPr>
      <w:r>
        <w:t>Пример: санскрит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>Сейчас в книге: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санскрит 20–23, 74, </w:t>
      </w:r>
      <w:r>
        <w:rPr>
          <w:rFonts w:ascii="Courier New" w:eastAsia="Courier New" w:hAnsi="Courier New" w:cs="Courier New"/>
          <w:sz w:val="20"/>
          <w:szCs w:val="20"/>
        </w:rPr>
        <w:t>112, 124, 132–175, 185, 192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эпический 140, 141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>Предлагается: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>санскрит 20–23, 74, 112, 124, 132–175, 185, 192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эпический 140, 141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морфология 143, 145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фонетика 142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структура 147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чтение, русская традиция 142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тексты древнейшие 147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~ идеализация утрированная 132</w:t>
      </w:r>
    </w:p>
    <w:p w:rsidR="002154F5" w:rsidRDefault="00535C33">
      <w:pPr>
        <w:pStyle w:val="Heading30"/>
        <w:spacing w:line="276" w:lineRule="auto"/>
      </w:pPr>
      <w:r>
        <w:t>Пример: арабский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>Сейчас в книге: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>арабский 65, 86, 168, 169, 174, 184, 185, 187, 192, 210–235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>Предлагается: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>арабский 65, 86, 168, 169, 174, 184, 185, 187, 192, 210–235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артикль 213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глаголы 209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грамматика 205, 209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письмо 219, 220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произношение 203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синтаксис 206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цифры 162</w:t>
      </w:r>
    </w:p>
    <w:p w:rsidR="002154F5" w:rsidRDefault="00535C33">
      <w:pPr>
        <w:pStyle w:val="Heading20"/>
        <w:spacing w:line="276" w:lineRule="auto"/>
      </w:pPr>
      <w:r>
        <w:t xml:space="preserve">3.3. Памятники культуры, отсутствующие в </w:t>
      </w:r>
      <w:r w:rsidR="007E7F5B">
        <w:t>предметном</w:t>
      </w:r>
      <w:r>
        <w:t xml:space="preserve"> указателе</w:t>
      </w:r>
    </w:p>
    <w:p w:rsidR="002154F5" w:rsidRDefault="00535C33">
      <w:pPr>
        <w:spacing w:after="120" w:line="276" w:lineRule="auto"/>
        <w:jc w:val="both"/>
      </w:pPr>
      <w:r>
        <w:t xml:space="preserve">При сопоставлении раздела I.1 Крылова с Предметным указателем выявлено </w:t>
      </w:r>
      <w:r>
        <w:rPr>
          <w:b/>
          <w:bCs/>
        </w:rPr>
        <w:t>19 позиций</w:t>
      </w:r>
      <w:r>
        <w:t>, отсутствующих в книге:</w:t>
      </w:r>
    </w:p>
    <w:p w:rsidR="002154F5" w:rsidRDefault="00535C33">
      <w:pPr>
        <w:spacing w:after="120" w:line="276" w:lineRule="auto"/>
        <w:ind w:firstLine="400"/>
        <w:jc w:val="both"/>
      </w:pPr>
      <w:r>
        <w:t>Библия (124, 349); Коран (186, 203, 214); «Илиада» (126, 137); «Песнь о Роланде» (67); «Пчела» (345); «Славянские веды» (147); «Житие Феодосия» / Нестор (45); Новгородская летопись XIII в. (55); «Онегин» / Пушкин (379); древнерусская княжеская грамота XIV </w:t>
      </w:r>
      <w:r>
        <w:t>в. (270); псковские рукописи (259); грамоты по номерам: 246 (266–268, 271, 274), 247 (266, 274), 377 (238, 239, 249), 579 (253, 259), 589 (261), 725 (46), 879 (259), 1063 (238).</w:t>
      </w:r>
    </w:p>
    <w:p w:rsidR="002154F5" w:rsidRDefault="00535C33">
      <w:pPr>
        <w:pStyle w:val="Heading20"/>
        <w:spacing w:line="276" w:lineRule="auto"/>
      </w:pPr>
      <w:r>
        <w:t>3.4. Лексический индекс Крылова: не только для школьников</w:t>
      </w:r>
    </w:p>
    <w:p w:rsidR="002154F5" w:rsidRDefault="00535C33">
      <w:pPr>
        <w:spacing w:after="120" w:line="276" w:lineRule="auto"/>
        <w:ind w:firstLine="400"/>
        <w:jc w:val="both"/>
      </w:pPr>
      <w:r>
        <w:lastRenderedPageBreak/>
        <w:t>Лексический индекс К</w:t>
      </w:r>
      <w:r>
        <w:t>рылова (раздел VIII.1a) содержит ~600 конкретных слов и словоформ с номерами страниц. Обратный алфавитный индекс (VIII.1a″) избыточен, однако прямой лексический индекс представляет значительную ценность. Книгу для школьников будут читать не только школьник</w:t>
      </w:r>
      <w:r>
        <w:t>и: аннотация адресует ее «всем, кто увлекается лингвистикой» — студентам, преподавателям, лингвистам-любителям.</w:t>
      </w:r>
    </w:p>
    <w:p w:rsidR="002154F5" w:rsidRDefault="00535C33">
      <w:pPr>
        <w:spacing w:after="120" w:line="276" w:lineRule="auto"/>
        <w:ind w:firstLine="400"/>
        <w:jc w:val="both"/>
      </w:pPr>
      <w:r>
        <w:t>Отметим, что сам Зализняк использовал указатели слов в своих академических книгах: в «От праславянской акцентуации к русской» Указатель слов зан</w:t>
      </w:r>
      <w:r>
        <w:t>имает 27 страниц из 428 (6,3 % объема книги) и снабжен подробными правилами пользования (гнездование однокоренных слов, игнорирование приставок при алфавитной сортировке и т. д.).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>Примеры слов из индекса Крылова по тематическим группам: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>Заимствования из тю</w:t>
      </w:r>
      <w:r>
        <w:rPr>
          <w:b/>
          <w:bCs/>
        </w:rPr>
        <w:t xml:space="preserve">ркских языков: </w:t>
      </w:r>
      <w:r>
        <w:t>арбуз (181, 182, 289), базар (182), башмак (181), кабан (181), каварадак (181), казак (181), казан (181), колпак (181), курган (181), товар (181), чердак (182), чулан (181)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 xml:space="preserve">Из немецкого и голландского: </w:t>
      </w:r>
      <w:r>
        <w:t>бутылка (185), крейсер (184), парикмахе</w:t>
      </w:r>
      <w:r>
        <w:t>р (184), рубанок (184), сельдь (184), флаг (184), шкипер (184), школа (183), шпага (183)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 xml:space="preserve">Из французского: </w:t>
      </w:r>
      <w:r>
        <w:t>аферна (185), журнал (185), кошмар (185), курьер (185), маляр (185), пластырь (185), солдат (185), танец (185)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 xml:space="preserve">Из арабского и персидского: </w:t>
      </w:r>
      <w:r>
        <w:t>адмирал (21</w:t>
      </w:r>
      <w:r>
        <w:t>2), алгебра (213), алкоголь (213), алхимия (213), альков (213), Альтаир (213), Гвадалквивир (213), Алжир (213), амбар (182), изумруд (179, 182), кефир (286), тумань (182), харч (217, 218)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 xml:space="preserve">Этимологические цепочки (романские): </w:t>
      </w:r>
      <w:r>
        <w:t xml:space="preserve">digitum → digtu → dījtu → deit </w:t>
      </w:r>
      <w:r>
        <w:t>→ doit → doigt (палец); vita → vida → vie (жизнь); *wiwotä → *vivotä (вдова); solidum → sou (су); factum → fa.it (факт); tributnus → tribun (трибун)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 xml:space="preserve">Исконно русские с историей: </w:t>
      </w:r>
      <w:r>
        <w:t>боб (98, 104), вёверица / векша (256, 273), верить / верёци (253–259), вор (258</w:t>
      </w:r>
      <w:r>
        <w:t xml:space="preserve">), враг / ворог (187), гость / гостя (24, 270, 336, 356), гроза (307–309), забыть (347, 351), закуска (181, 182), заутра / завтра (365, 366), зиять / изъян (182, 200, 201), истоки (98, 104), корабль (180), небосклон (319), неужели (330, 331), обуза (201), </w:t>
      </w:r>
      <w:r>
        <w:t>отсебятина (319), паук (367, 368), пчела (95), рубеж (271, 272), рубль / рубёль / руболь (381, 382), стоять / встать / стать / достать / перестать / устать (343–347)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 xml:space="preserve">Числительные (цепочка ударений): </w:t>
      </w:r>
      <w:r>
        <w:t>пять (297–302), шесть (297–302), семь (297–302), восемь (</w:t>
      </w:r>
      <w:r>
        <w:t>297–302), девять (297–302), десять (297–302), пятнадцать (299, 301), семнадцать (299–301), восемнадцать (299–301), пятьдесят (300, 301), семьдесят (300–302), восемьдесят (300–302)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 xml:space="preserve">Ономастика: </w:t>
      </w:r>
      <w:r>
        <w:t>Вася (46, 47), Видомир (252–259), Париж / Пари (292), Рим / Рома</w:t>
      </w:r>
      <w:r>
        <w:t xml:space="preserve"> (292), Стокгольм / Стокхольм (292, 293), Флоренция / Фиренце (291), Шекспир (287, 291, 292), Падуя / Падова (291), Мельбурн (291, 292), Вашингтон (291)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 xml:space="preserve">Санскритские словоформы: </w:t>
      </w:r>
      <w:r>
        <w:t xml:space="preserve">grhṇāti «хватает» (152, 153, 154, 161), vihāya «покидая» (153, 158, 161), </w:t>
      </w:r>
      <w:r w:rsidR="007E7F5B">
        <w:rPr>
          <w:lang w:val="en-US"/>
        </w:rPr>
        <w:t>v</w:t>
      </w:r>
      <w:r>
        <w:t>āsā</w:t>
      </w:r>
      <w:r>
        <w:t>ṃsi (161), navāni «новые» (154), apārāni «другие» (154), jīrnāni «старые» (151, 153)</w:t>
      </w:r>
    </w:p>
    <w:p w:rsidR="002154F5" w:rsidRDefault="00535C33">
      <w:pPr>
        <w:spacing w:after="120" w:line="276" w:lineRule="auto"/>
        <w:jc w:val="both"/>
      </w:pPr>
      <w:r>
        <w:rPr>
          <w:b/>
          <w:bCs/>
        </w:rPr>
        <w:t xml:space="preserve">Арабские корни и словоформы: </w:t>
      </w:r>
      <w:r>
        <w:t xml:space="preserve">kataba «написал» (207, 208), kātib «писарь» (209), maktab «школа» (210, 211, 215), maktūb «написанное» (209), kutiba «был написан» (207, </w:t>
      </w:r>
      <w:r>
        <w:lastRenderedPageBreak/>
        <w:t>208),</w:t>
      </w:r>
      <w:r>
        <w:t xml:space="preserve"> kattaba «заставил писать» (209), mukattib «преподающий письмо» (210, 226), salām «мир» (218, 219), muḥammad «многохвальный» (216)</w:t>
      </w:r>
    </w:p>
    <w:p w:rsidR="002154F5" w:rsidRPr="007E7F5B" w:rsidRDefault="00535C33">
      <w:pPr>
        <w:spacing w:after="120" w:line="276" w:lineRule="auto"/>
        <w:ind w:firstLine="400"/>
        <w:jc w:val="both"/>
      </w:pPr>
      <w:r>
        <w:rPr>
          <w:b/>
          <w:bCs/>
        </w:rPr>
        <w:t xml:space="preserve">Рекомендация: </w:t>
      </w:r>
      <w:r>
        <w:t>рассмотреть включение компактного Лексического указателя (~3–4 стр.) с отобранными ~</w:t>
      </w:r>
      <w:r>
        <w:t>120 словами. Либо — вкл</w:t>
      </w:r>
      <w:r>
        <w:t>ючить ключевые слова как подрубрики третьего уровня в Указатель языков (см. раздел 3.6).</w:t>
      </w:r>
      <w:r w:rsidR="007E7F5B" w:rsidRPr="007E7F5B">
        <w:t xml:space="preserve"> </w:t>
      </w:r>
      <w:r w:rsidR="007E7F5B">
        <w:t>Склоняюсь к второму пути.</w:t>
      </w:r>
    </w:p>
    <w:p w:rsidR="002154F5" w:rsidRDefault="00535C33">
      <w:pPr>
        <w:pStyle w:val="Heading20"/>
        <w:spacing w:line="276" w:lineRule="auto"/>
      </w:pPr>
      <w:r>
        <w:t>3.5. Именной указатель (раздел VI Крылова)</w:t>
      </w:r>
    </w:p>
    <w:p w:rsidR="002154F5" w:rsidRDefault="00535C33">
      <w:pPr>
        <w:spacing w:after="120" w:line="276" w:lineRule="auto"/>
        <w:ind w:firstLine="400"/>
        <w:jc w:val="both"/>
      </w:pPr>
      <w:r>
        <w:rPr>
          <w:b/>
          <w:bCs/>
        </w:rPr>
        <w:t>Самая ценная часть аппарата Крылова для школьника.</w:t>
      </w:r>
      <w:r>
        <w:t xml:space="preserve"> В лекциях упоминается ~88 персоналий в трех категориях:</w:t>
      </w:r>
    </w:p>
    <w:p w:rsidR="002154F5" w:rsidRDefault="00535C33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Ученые-лингвисты (~45 чел.): </w:t>
      </w:r>
      <w:r>
        <w:t>Аванесов, Аль Бируни, Бопп, Вакернагель, Вентрис, Вернер, Виноградов, Гримм (братья), Даль, Дыбо, Еськова, Иллич-Свитыч, Мейе, Падучева, Плунгян, Раск, Роулинсон, Сроезневский, Фридрих, Чедвик, Шампольон, Янин и др.</w:t>
      </w:r>
    </w:p>
    <w:p w:rsidR="002154F5" w:rsidRDefault="00535C33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Исторически</w:t>
      </w:r>
      <w:r>
        <w:rPr>
          <w:b/>
          <w:bCs/>
        </w:rPr>
        <w:t xml:space="preserve">е и культурные деятели (~24 чел.): </w:t>
      </w:r>
      <w:r>
        <w:t>Аввакум, Александр Македонский, Брюллов, Вяземский, Гаспаров, Гутенберг, Данте, Иван III, Иван IV, Калидаса, Карамзин, Карл Великий, Крученых, Михаил Тверской, Нестор Летописец, Петр I, Пушкин, Слуцкий, Улицкая, Хлебников</w:t>
      </w:r>
      <w:r>
        <w:t>, Феодосий Печерский, Юлий Цезарь и др.</w:t>
      </w:r>
    </w:p>
    <w:p w:rsidR="002154F5" w:rsidRDefault="00535C33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Слушатели из зала (~19 чел., опционально): </w:t>
      </w:r>
      <w:r>
        <w:t>Алексеевская О. А., Бажибин В., Иткин А. И., Иткин И. Б., Лебедева Е. И., Феклистова Е. Б. и др. Примечание: коллективная ссылка «{Из зала}» у Крылова чересчур частотна (~80</w:t>
      </w:r>
      <w:r>
        <w:t xml:space="preserve"> страниц из 400) и тем самым избыточна; включать ее нецелесообразно.</w:t>
      </w:r>
    </w:p>
    <w:p w:rsidR="002154F5" w:rsidRDefault="00535C33">
      <w:pPr>
        <w:spacing w:after="120" w:line="276" w:lineRule="auto"/>
        <w:ind w:firstLine="400"/>
        <w:jc w:val="both"/>
      </w:pPr>
      <w:r>
        <w:rPr>
          <w:b/>
          <w:bCs/>
        </w:rPr>
        <w:t xml:space="preserve">Рекомендация: </w:t>
      </w:r>
      <w:r>
        <w:t xml:space="preserve">составить Указатель имен на 2–3 страницы. Слушатели из зала — </w:t>
      </w:r>
      <w:r w:rsidR="007E7F5B">
        <w:t>целиком нецелесообразно</w:t>
      </w:r>
      <w:r>
        <w:t>.</w:t>
      </w:r>
    </w:p>
    <w:p w:rsidR="002154F5" w:rsidRDefault="00535C33">
      <w:pPr>
        <w:pStyle w:val="Heading20"/>
        <w:spacing w:line="276" w:lineRule="auto"/>
      </w:pPr>
      <w:r>
        <w:t>3.6. Вариант: лексический материал как подрубрики Указателя языков</w:t>
      </w:r>
    </w:p>
    <w:p w:rsidR="002154F5" w:rsidRDefault="00535C33">
      <w:pPr>
        <w:spacing w:after="120" w:line="276" w:lineRule="auto"/>
        <w:ind w:firstLine="400"/>
        <w:jc w:val="both"/>
      </w:pPr>
      <w:r>
        <w:t xml:space="preserve">Вместо отдельного Лексического </w:t>
      </w:r>
      <w:r>
        <w:t>указателя можно включить ключевые слова непосредственно в Указатель языков подрубрикой «~ слова:». Вот как это выглядело бы: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>арабский 65, 86, 168, 169, 174, 184, 185, 187, 192, 210–235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артикль 213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глаголы 209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грамматика 205, 209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письмо 219, 220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произношение 203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синтаксис 206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цифры 162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слова: адмирал 212; алгебра 213; алкоголь 213; алхимия 213;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  Альтаир 213; Гвадалквивир 213; кефир 286; харч 217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корни: k-t-b 207; s-t-r 207; s-l-m 218; </w:t>
      </w:r>
      <w:r>
        <w:rPr>
          <w:rFonts w:ascii="Courier New" w:eastAsia="Courier New" w:hAnsi="Courier New" w:cs="Courier New"/>
          <w:sz w:val="20"/>
          <w:szCs w:val="20"/>
        </w:rPr>
        <w:t>ḥ</w:t>
      </w:r>
      <w:r>
        <w:rPr>
          <w:rFonts w:ascii="Courier New" w:eastAsia="Courier New" w:hAnsi="Courier New" w:cs="Courier New"/>
          <w:sz w:val="20"/>
          <w:szCs w:val="20"/>
        </w:rPr>
        <w:t>-m-d 216</w:t>
      </w:r>
    </w:p>
    <w:p w:rsidR="002154F5" w:rsidRDefault="002154F5">
      <w:pPr>
        <w:spacing w:after="40" w:line="276" w:lineRule="auto"/>
        <w:jc w:val="both"/>
      </w:pP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санскрит </w:t>
      </w:r>
      <w:r>
        <w:rPr>
          <w:rFonts w:ascii="Courier New" w:eastAsia="Courier New" w:hAnsi="Courier New" w:cs="Courier New"/>
          <w:sz w:val="20"/>
          <w:szCs w:val="20"/>
        </w:rPr>
        <w:t>20–23, 74, 112, 124, 132–175, 185, 192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эпический 140, 141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морфология 143, 145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фонетика 142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~ чтение, русская традиция 142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~ слова: grh</w:t>
      </w:r>
      <w:r>
        <w:rPr>
          <w:rFonts w:ascii="Courier New" w:eastAsia="Courier New" w:hAnsi="Courier New" w:cs="Courier New"/>
          <w:sz w:val="20"/>
          <w:szCs w:val="20"/>
        </w:rPr>
        <w:t>ṇ</w:t>
      </w:r>
      <w:r>
        <w:rPr>
          <w:rFonts w:ascii="Courier New" w:eastAsia="Courier New" w:hAnsi="Courier New" w:cs="Courier New"/>
          <w:sz w:val="20"/>
          <w:szCs w:val="20"/>
        </w:rPr>
        <w:t>āti «хватает» 152; vihāya «покидая» 153;</w:t>
      </w:r>
    </w:p>
    <w:p w:rsidR="002154F5" w:rsidRDefault="00535C33">
      <w:pPr>
        <w:spacing w:after="80" w:line="260" w:lineRule="auto"/>
        <w:ind w:left="500" w:right="300"/>
      </w:pPr>
      <w:r>
        <w:rPr>
          <w:rFonts w:ascii="Courier New" w:eastAsia="Courier New" w:hAnsi="Courier New" w:cs="Courier New"/>
          <w:sz w:val="20"/>
          <w:szCs w:val="20"/>
        </w:rPr>
        <w:t xml:space="preserve">    Vāsā</w:t>
      </w:r>
      <w:r>
        <w:rPr>
          <w:rFonts w:ascii="Courier New" w:eastAsia="Courier New" w:hAnsi="Courier New" w:cs="Courier New"/>
          <w:sz w:val="20"/>
          <w:szCs w:val="20"/>
        </w:rPr>
        <w:t>ṃ</w:t>
      </w:r>
      <w:r>
        <w:rPr>
          <w:rFonts w:ascii="Courier New" w:eastAsia="Courier New" w:hAnsi="Courier New" w:cs="Courier New"/>
          <w:sz w:val="20"/>
          <w:szCs w:val="20"/>
        </w:rPr>
        <w:t>si 161; navāni «новые» 154</w:t>
      </w:r>
    </w:p>
    <w:p w:rsidR="002154F5" w:rsidRDefault="002154F5">
      <w:pPr>
        <w:spacing w:after="40" w:line="276" w:lineRule="auto"/>
        <w:jc w:val="both"/>
      </w:pPr>
    </w:p>
    <w:p w:rsidR="002154F5" w:rsidRDefault="00535C33">
      <w:pPr>
        <w:spacing w:after="120" w:line="276" w:lineRule="auto"/>
        <w:ind w:firstLine="400"/>
        <w:jc w:val="both"/>
      </w:pPr>
      <w:r>
        <w:t>Это решение экономит место (не нужен отдельный указатель), логически связывает слово с его языком и сохраняет единую точку входа для читателя.</w:t>
      </w:r>
    </w:p>
    <w:p w:rsidR="002154F5" w:rsidRDefault="00535C33">
      <w:pPr>
        <w:pStyle w:val="Heading10"/>
        <w:spacing w:line="276" w:lineRule="auto"/>
      </w:pPr>
      <w:r>
        <w:br w:type="page"/>
      </w:r>
      <w:r>
        <w:lastRenderedPageBreak/>
        <w:t>4. Итоговые рекомендации</w:t>
      </w:r>
    </w:p>
    <w:p w:rsidR="002154F5" w:rsidRDefault="00535C33">
      <w:pPr>
        <w:pStyle w:val="Heading20"/>
        <w:spacing w:line="276" w:lineRule="auto"/>
      </w:pPr>
      <w:r>
        <w:t>4.1. Обязательные исправления</w:t>
      </w:r>
    </w:p>
    <w:p w:rsidR="002154F5" w:rsidRDefault="00535C33">
      <w:pPr>
        <w:pStyle w:val="a4"/>
        <w:numPr>
          <w:ilvl w:val="0"/>
          <w:numId w:val="3"/>
        </w:numPr>
        <w:spacing w:after="80"/>
      </w:pPr>
      <w:r>
        <w:t>Исправить опечатки: «83–66», «20, 331, 186», «ностратичес</w:t>
      </w:r>
      <w:r>
        <w:t>кие 232, 180».</w:t>
      </w:r>
    </w:p>
    <w:p w:rsidR="002154F5" w:rsidRDefault="00535C33">
      <w:pPr>
        <w:pStyle w:val="a4"/>
        <w:numPr>
          <w:ilvl w:val="0"/>
          <w:numId w:val="3"/>
        </w:numPr>
        <w:spacing w:after="80"/>
      </w:pPr>
      <w:r>
        <w:t>Добавить ~20–25 пропущенных терминов в Предметный указатель.</w:t>
      </w:r>
    </w:p>
    <w:p w:rsidR="002154F5" w:rsidRDefault="00535C33">
      <w:pPr>
        <w:pStyle w:val="a4"/>
        <w:numPr>
          <w:ilvl w:val="0"/>
          <w:numId w:val="3"/>
        </w:numPr>
        <w:spacing w:after="80"/>
      </w:pPr>
      <w:r>
        <w:t>Добавить ~8–10 пропущенных языков в Указатель языков.</w:t>
      </w:r>
    </w:p>
    <w:p w:rsidR="002154F5" w:rsidRDefault="00535C33">
      <w:pPr>
        <w:pStyle w:val="a4"/>
        <w:numPr>
          <w:ilvl w:val="0"/>
          <w:numId w:val="3"/>
        </w:numPr>
        <w:spacing w:after="80"/>
      </w:pPr>
      <w:r>
        <w:t>Добавить ~19 пропущенных памятников культуры в Предметный указатель.</w:t>
      </w:r>
    </w:p>
    <w:p w:rsidR="002154F5" w:rsidRDefault="00535C33">
      <w:pPr>
        <w:pStyle w:val="Heading20"/>
        <w:spacing w:line="276" w:lineRule="auto"/>
      </w:pPr>
      <w:r>
        <w:t>4.2. Настоятельно рекомендуемые дополнения</w:t>
      </w:r>
    </w:p>
    <w:p w:rsidR="002154F5" w:rsidRDefault="00535C33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Указатель имен</w:t>
      </w:r>
      <w:r>
        <w:t xml:space="preserve"> (~2–3 стр.). Основа: Крылов VI. Слушатели — опционально.</w:t>
      </w:r>
    </w:p>
    <w:p w:rsidR="002154F5" w:rsidRDefault="00535C33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Тематические подрубрики</w:t>
      </w:r>
      <w:r>
        <w:t xml:space="preserve"> </w:t>
      </w:r>
      <w:r w:rsidR="000667CC">
        <w:t xml:space="preserve">хотя бы </w:t>
      </w:r>
      <w:r>
        <w:t>для русского, санскрита и арабского в Указателе языков, в формате А. А. Зализняк через ~ (~1–2 стр.).</w:t>
      </w:r>
    </w:p>
    <w:p w:rsidR="002154F5" w:rsidRDefault="00535C33">
      <w:pPr>
        <w:pStyle w:val="Heading20"/>
        <w:spacing w:line="276" w:lineRule="auto"/>
      </w:pPr>
      <w:r>
        <w:t>4.3. Опциональные дополнения</w:t>
      </w:r>
    </w:p>
    <w:p w:rsidR="002154F5" w:rsidRDefault="00535C33">
      <w:pPr>
        <w:pStyle w:val="a4"/>
        <w:numPr>
          <w:ilvl w:val="0"/>
          <w:numId w:val="5"/>
        </w:numPr>
        <w:spacing w:after="80"/>
      </w:pPr>
      <w:r>
        <w:rPr>
          <w:b/>
          <w:bCs/>
        </w:rPr>
        <w:t>Лексический указатель</w:t>
      </w:r>
      <w:r>
        <w:t xml:space="preserve"> (~3–4 стр.) с отобран</w:t>
      </w:r>
      <w:r>
        <w:t>ными ~100–120 словами. Либо: интеграция ключевых слов в Указатель языков подрубрикой «~ слова:» (раздел 3.6).</w:t>
      </w:r>
    </w:p>
    <w:p w:rsidR="002154F5" w:rsidRDefault="00535C33">
      <w:pPr>
        <w:pStyle w:val="Heading10"/>
        <w:spacing w:line="276" w:lineRule="auto"/>
      </w:pPr>
      <w:r>
        <w:t>5. Сводная таблица</w:t>
      </w:r>
    </w:p>
    <w:tbl>
      <w:tblPr>
        <w:tblW w:w="907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43"/>
        <w:gridCol w:w="1184"/>
        <w:gridCol w:w="1569"/>
        <w:gridCol w:w="1192"/>
        <w:gridCol w:w="2782"/>
      </w:tblGrid>
      <w:tr w:rsidR="002154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color w:val="FFFFFF"/>
                <w:sz w:val="22"/>
                <w:szCs w:val="22"/>
              </w:rPr>
              <w:t>Указатель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color w:val="FFFFFF"/>
                <w:sz w:val="22"/>
                <w:szCs w:val="22"/>
              </w:rPr>
              <w:t>Сейчас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color w:val="FFFFFF"/>
                <w:sz w:val="22"/>
                <w:szCs w:val="22"/>
              </w:rPr>
              <w:t>Предлагается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color w:val="FFFFFF"/>
                <w:sz w:val="22"/>
                <w:szCs w:val="22"/>
              </w:rPr>
              <w:t>Прирост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color w:val="FFFFFF"/>
                <w:sz w:val="22"/>
                <w:szCs w:val="22"/>
              </w:rPr>
              <w:t>Источник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Предметный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~4,5 стр.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~6,5 стр.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+2 стр.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Крылов VII + I.1 + сверка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Языков (+ подрубрики)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~4,5 стр.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~7 стр.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+2,5 стр.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Крылов V + подрубрики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Имен (НОВЫЙ)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—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~2,5 стр.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+2,5 стр.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Крылов VI, упрощ.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Лексический (НОВЫЙ, опцион.)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—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~3,5 стр.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+3,5 стр.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sz w:val="22"/>
                <w:szCs w:val="22"/>
              </w:rPr>
              <w:t>Крылов VIII.1a, сокращ.</w:t>
            </w:r>
          </w:p>
        </w:tc>
      </w:tr>
      <w:tr w:rsidR="002154F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9 стр.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~20 стр.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+11 стр.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154F5" w:rsidRDefault="00535C33">
            <w:r>
              <w:rPr>
                <w:b/>
                <w:bCs/>
                <w:sz w:val="22"/>
                <w:szCs w:val="22"/>
              </w:rPr>
              <w:t>5% от объема книги</w:t>
            </w:r>
          </w:p>
        </w:tc>
      </w:tr>
    </w:tbl>
    <w:p w:rsidR="002154F5" w:rsidRDefault="002154F5">
      <w:pPr>
        <w:spacing w:after="100" w:line="276" w:lineRule="auto"/>
        <w:jc w:val="both"/>
      </w:pPr>
    </w:p>
    <w:p w:rsidR="002154F5" w:rsidRDefault="00535C33">
      <w:pPr>
        <w:pStyle w:val="Heading10"/>
        <w:spacing w:line="276" w:lineRule="auto"/>
      </w:pPr>
      <w:r>
        <w:t>6. Заключение</w:t>
      </w:r>
    </w:p>
    <w:p w:rsidR="002154F5" w:rsidRDefault="00535C33">
      <w:pPr>
        <w:spacing w:after="120" w:line="276" w:lineRule="auto"/>
        <w:ind w:firstLine="400"/>
        <w:jc w:val="both"/>
      </w:pPr>
      <w:r>
        <w:t>Книга позиционируется как «незаменимый путеводитель для всех, кто увлекается лингвистикой». Путеводитель без развитого указателя — как карта без обозначений. Увеличение объема указателей с 9 до ~20 страниц при объеме книги ~400 стр. укладывае</w:t>
      </w:r>
      <w:r>
        <w:t>тся в норму 5 %, рекомендованную Мильчиным, и соответствует практике самого Зализняка (7,2 % в «От праславянской акцентуации к русской»). Работы Крылова, при всей академической избыточности, содержат подробнейшую картографию текста, из которой можно и нужн</w:t>
      </w:r>
      <w:r>
        <w:t>о извлечь навигационные маяки для читателя — будь то школьник, студент или профессиональный лингвист.</w:t>
      </w:r>
    </w:p>
    <w:sectPr w:rsidR="002154F5" w:rsidSect="002154F5">
      <w:footerReference w:type="default" r:id="rId7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5C33" w:rsidRDefault="00535C33" w:rsidP="000667CC">
      <w:r>
        <w:separator/>
      </w:r>
    </w:p>
  </w:endnote>
  <w:endnote w:type="continuationSeparator" w:id="0">
    <w:p w:rsidR="00535C33" w:rsidRDefault="00535C33" w:rsidP="000667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822094"/>
      <w:docPartObj>
        <w:docPartGallery w:val="Page Numbers (Bottom of Page)"/>
        <w:docPartUnique/>
      </w:docPartObj>
    </w:sdtPr>
    <w:sdtContent>
      <w:p w:rsidR="000667CC" w:rsidRDefault="000667CC">
        <w:pPr>
          <w:pStyle w:val="ae"/>
          <w:jc w:val="center"/>
        </w:pPr>
        <w:fldSimple w:instr=" PAGE   \* MERGEFORMAT ">
          <w:r>
            <w:rPr>
              <w:noProof/>
            </w:rPr>
            <w:t>4</w:t>
          </w:r>
        </w:fldSimple>
      </w:p>
    </w:sdtContent>
  </w:sdt>
  <w:p w:rsidR="000667CC" w:rsidRDefault="000667CC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5C33" w:rsidRDefault="00535C33" w:rsidP="000667CC">
      <w:r>
        <w:separator/>
      </w:r>
    </w:p>
  </w:footnote>
  <w:footnote w:type="continuationSeparator" w:id="0">
    <w:p w:rsidR="00535C33" w:rsidRDefault="00535C33" w:rsidP="000667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CD5A80"/>
    <w:multiLevelType w:val="hybridMultilevel"/>
    <w:tmpl w:val="3CAAB2C2"/>
    <w:lvl w:ilvl="0" w:tplc="6E821142">
      <w:start w:val="1"/>
      <w:numFmt w:val="decimal"/>
      <w:lvlText w:val="%1."/>
      <w:lvlJc w:val="left"/>
      <w:pPr>
        <w:ind w:left="720" w:hanging="360"/>
      </w:pPr>
    </w:lvl>
    <w:lvl w:ilvl="1" w:tplc="9508D3F0">
      <w:numFmt w:val="decimal"/>
      <w:lvlText w:val=""/>
      <w:lvlJc w:val="left"/>
    </w:lvl>
    <w:lvl w:ilvl="2" w:tplc="1E96BADC">
      <w:numFmt w:val="decimal"/>
      <w:lvlText w:val=""/>
      <w:lvlJc w:val="left"/>
    </w:lvl>
    <w:lvl w:ilvl="3" w:tplc="262CCB9E">
      <w:numFmt w:val="decimal"/>
      <w:lvlText w:val=""/>
      <w:lvlJc w:val="left"/>
    </w:lvl>
    <w:lvl w:ilvl="4" w:tplc="21728F9A">
      <w:numFmt w:val="decimal"/>
      <w:lvlText w:val=""/>
      <w:lvlJc w:val="left"/>
    </w:lvl>
    <w:lvl w:ilvl="5" w:tplc="68749468">
      <w:numFmt w:val="decimal"/>
      <w:lvlText w:val=""/>
      <w:lvlJc w:val="left"/>
    </w:lvl>
    <w:lvl w:ilvl="6" w:tplc="CDF84254">
      <w:numFmt w:val="decimal"/>
      <w:lvlText w:val=""/>
      <w:lvlJc w:val="left"/>
    </w:lvl>
    <w:lvl w:ilvl="7" w:tplc="EDF8E354">
      <w:numFmt w:val="decimal"/>
      <w:lvlText w:val=""/>
      <w:lvlJc w:val="left"/>
    </w:lvl>
    <w:lvl w:ilvl="8" w:tplc="D45E905E">
      <w:numFmt w:val="decimal"/>
      <w:lvlText w:val=""/>
      <w:lvlJc w:val="left"/>
    </w:lvl>
  </w:abstractNum>
  <w:abstractNum w:abstractNumId="1">
    <w:nsid w:val="42754E6B"/>
    <w:multiLevelType w:val="hybridMultilevel"/>
    <w:tmpl w:val="1516416A"/>
    <w:lvl w:ilvl="0" w:tplc="D15411F4">
      <w:start w:val="1"/>
      <w:numFmt w:val="bullet"/>
      <w:lvlText w:val="●"/>
      <w:lvlJc w:val="left"/>
      <w:pPr>
        <w:ind w:left="720" w:hanging="360"/>
      </w:pPr>
    </w:lvl>
    <w:lvl w:ilvl="1" w:tplc="00BA61C0">
      <w:start w:val="1"/>
      <w:numFmt w:val="bullet"/>
      <w:lvlText w:val="○"/>
      <w:lvlJc w:val="left"/>
      <w:pPr>
        <w:ind w:left="1440" w:hanging="360"/>
      </w:pPr>
    </w:lvl>
    <w:lvl w:ilvl="2" w:tplc="593EF3AC">
      <w:start w:val="1"/>
      <w:numFmt w:val="bullet"/>
      <w:lvlText w:val="■"/>
      <w:lvlJc w:val="left"/>
      <w:pPr>
        <w:ind w:left="2160" w:hanging="360"/>
      </w:pPr>
    </w:lvl>
    <w:lvl w:ilvl="3" w:tplc="D4B0F3D8">
      <w:start w:val="1"/>
      <w:numFmt w:val="bullet"/>
      <w:lvlText w:val="●"/>
      <w:lvlJc w:val="left"/>
      <w:pPr>
        <w:ind w:left="2880" w:hanging="360"/>
      </w:pPr>
    </w:lvl>
    <w:lvl w:ilvl="4" w:tplc="3FDAEDC8">
      <w:start w:val="1"/>
      <w:numFmt w:val="bullet"/>
      <w:lvlText w:val="○"/>
      <w:lvlJc w:val="left"/>
      <w:pPr>
        <w:ind w:left="3600" w:hanging="360"/>
      </w:pPr>
    </w:lvl>
    <w:lvl w:ilvl="5" w:tplc="8F0C402E">
      <w:start w:val="1"/>
      <w:numFmt w:val="bullet"/>
      <w:lvlText w:val="■"/>
      <w:lvlJc w:val="left"/>
      <w:pPr>
        <w:ind w:left="4320" w:hanging="360"/>
      </w:pPr>
    </w:lvl>
    <w:lvl w:ilvl="6" w:tplc="9C0ABFCE">
      <w:start w:val="1"/>
      <w:numFmt w:val="bullet"/>
      <w:lvlText w:val="●"/>
      <w:lvlJc w:val="left"/>
      <w:pPr>
        <w:ind w:left="5040" w:hanging="360"/>
      </w:pPr>
    </w:lvl>
    <w:lvl w:ilvl="7" w:tplc="DAA68FF4">
      <w:start w:val="1"/>
      <w:numFmt w:val="bullet"/>
      <w:lvlText w:val="●"/>
      <w:lvlJc w:val="left"/>
      <w:pPr>
        <w:ind w:left="5760" w:hanging="360"/>
      </w:pPr>
    </w:lvl>
    <w:lvl w:ilvl="8" w:tplc="00E6C84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CE532E9"/>
    <w:multiLevelType w:val="hybridMultilevel"/>
    <w:tmpl w:val="B50E7ABC"/>
    <w:lvl w:ilvl="0" w:tplc="05222CB0">
      <w:start w:val="1"/>
      <w:numFmt w:val="bullet"/>
      <w:lvlText w:val="•"/>
      <w:lvlJc w:val="left"/>
      <w:pPr>
        <w:ind w:left="720" w:hanging="360"/>
      </w:pPr>
    </w:lvl>
    <w:lvl w:ilvl="1" w:tplc="DF18350A">
      <w:numFmt w:val="decimal"/>
      <w:lvlText w:val=""/>
      <w:lvlJc w:val="left"/>
    </w:lvl>
    <w:lvl w:ilvl="2" w:tplc="383E0884">
      <w:numFmt w:val="decimal"/>
      <w:lvlText w:val=""/>
      <w:lvlJc w:val="left"/>
    </w:lvl>
    <w:lvl w:ilvl="3" w:tplc="1162324C">
      <w:numFmt w:val="decimal"/>
      <w:lvlText w:val=""/>
      <w:lvlJc w:val="left"/>
    </w:lvl>
    <w:lvl w:ilvl="4" w:tplc="FFB42F90">
      <w:numFmt w:val="decimal"/>
      <w:lvlText w:val=""/>
      <w:lvlJc w:val="left"/>
    </w:lvl>
    <w:lvl w:ilvl="5" w:tplc="0B88B6A2">
      <w:numFmt w:val="decimal"/>
      <w:lvlText w:val=""/>
      <w:lvlJc w:val="left"/>
    </w:lvl>
    <w:lvl w:ilvl="6" w:tplc="DB607460">
      <w:numFmt w:val="decimal"/>
      <w:lvlText w:val=""/>
      <w:lvlJc w:val="left"/>
    </w:lvl>
    <w:lvl w:ilvl="7" w:tplc="E9FE358E">
      <w:numFmt w:val="decimal"/>
      <w:lvlText w:val=""/>
      <w:lvlJc w:val="left"/>
    </w:lvl>
    <w:lvl w:ilvl="8" w:tplc="F8EADA14">
      <w:numFmt w:val="decimal"/>
      <w:lvlText w:val=""/>
      <w:lvlJc w:val="left"/>
    </w:lvl>
  </w:abstractNum>
  <w:abstractNum w:abstractNumId="3">
    <w:nsid w:val="6D5A563E"/>
    <w:multiLevelType w:val="hybridMultilevel"/>
    <w:tmpl w:val="98407554"/>
    <w:lvl w:ilvl="0" w:tplc="76C6EFAC">
      <w:start w:val="1"/>
      <w:numFmt w:val="decimal"/>
      <w:lvlText w:val="%1."/>
      <w:lvlJc w:val="left"/>
      <w:pPr>
        <w:ind w:left="720" w:hanging="360"/>
      </w:pPr>
    </w:lvl>
    <w:lvl w:ilvl="1" w:tplc="55AAD23C">
      <w:numFmt w:val="decimal"/>
      <w:lvlText w:val=""/>
      <w:lvlJc w:val="left"/>
    </w:lvl>
    <w:lvl w:ilvl="2" w:tplc="D31C877E">
      <w:numFmt w:val="decimal"/>
      <w:lvlText w:val=""/>
      <w:lvlJc w:val="left"/>
    </w:lvl>
    <w:lvl w:ilvl="3" w:tplc="77741402">
      <w:numFmt w:val="decimal"/>
      <w:lvlText w:val=""/>
      <w:lvlJc w:val="left"/>
    </w:lvl>
    <w:lvl w:ilvl="4" w:tplc="0C4E462E">
      <w:numFmt w:val="decimal"/>
      <w:lvlText w:val=""/>
      <w:lvlJc w:val="left"/>
    </w:lvl>
    <w:lvl w:ilvl="5" w:tplc="A5C05CDC">
      <w:numFmt w:val="decimal"/>
      <w:lvlText w:val=""/>
      <w:lvlJc w:val="left"/>
    </w:lvl>
    <w:lvl w:ilvl="6" w:tplc="DDA48582">
      <w:numFmt w:val="decimal"/>
      <w:lvlText w:val=""/>
      <w:lvlJc w:val="left"/>
    </w:lvl>
    <w:lvl w:ilvl="7" w:tplc="5BB80B94">
      <w:numFmt w:val="decimal"/>
      <w:lvlText w:val=""/>
      <w:lvlJc w:val="left"/>
    </w:lvl>
    <w:lvl w:ilvl="8" w:tplc="A510D19E">
      <w:numFmt w:val="decimal"/>
      <w:lvlText w:val=""/>
      <w:lvlJc w:val="left"/>
    </w:lvl>
  </w:abstractNum>
  <w:abstractNum w:abstractNumId="4">
    <w:nsid w:val="71C72AE0"/>
    <w:multiLevelType w:val="hybridMultilevel"/>
    <w:tmpl w:val="FB28D038"/>
    <w:lvl w:ilvl="0" w:tplc="B352EA9A">
      <w:start w:val="1"/>
      <w:numFmt w:val="decimal"/>
      <w:lvlText w:val="%1."/>
      <w:lvlJc w:val="left"/>
      <w:pPr>
        <w:ind w:left="720" w:hanging="360"/>
      </w:pPr>
    </w:lvl>
    <w:lvl w:ilvl="1" w:tplc="B9E2B3BC">
      <w:numFmt w:val="decimal"/>
      <w:lvlText w:val=""/>
      <w:lvlJc w:val="left"/>
    </w:lvl>
    <w:lvl w:ilvl="2" w:tplc="EBB07C0A">
      <w:numFmt w:val="decimal"/>
      <w:lvlText w:val=""/>
      <w:lvlJc w:val="left"/>
    </w:lvl>
    <w:lvl w:ilvl="3" w:tplc="EA2AD06C">
      <w:numFmt w:val="decimal"/>
      <w:lvlText w:val=""/>
      <w:lvlJc w:val="left"/>
    </w:lvl>
    <w:lvl w:ilvl="4" w:tplc="36D029AE">
      <w:numFmt w:val="decimal"/>
      <w:lvlText w:val=""/>
      <w:lvlJc w:val="left"/>
    </w:lvl>
    <w:lvl w:ilvl="5" w:tplc="5C689B76">
      <w:numFmt w:val="decimal"/>
      <w:lvlText w:val=""/>
      <w:lvlJc w:val="left"/>
    </w:lvl>
    <w:lvl w:ilvl="6" w:tplc="93E404D2">
      <w:numFmt w:val="decimal"/>
      <w:lvlText w:val=""/>
      <w:lvlJc w:val="left"/>
    </w:lvl>
    <w:lvl w:ilvl="7" w:tplc="46A48588">
      <w:numFmt w:val="decimal"/>
      <w:lvlText w:val=""/>
      <w:lvlJc w:val="left"/>
    </w:lvl>
    <w:lvl w:ilvl="8" w:tplc="34B4526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154F5"/>
    <w:rsid w:val="000667CC"/>
    <w:rsid w:val="002154F5"/>
    <w:rsid w:val="00535C33"/>
    <w:rsid w:val="007E7F5B"/>
    <w:rsid w:val="00FC31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2154F5"/>
    <w:rPr>
      <w:sz w:val="56"/>
      <w:szCs w:val="56"/>
    </w:rPr>
  </w:style>
  <w:style w:type="paragraph" w:customStyle="1" w:styleId="Heading1">
    <w:name w:val="Heading 1"/>
    <w:qFormat/>
    <w:rsid w:val="002154F5"/>
    <w:rPr>
      <w:color w:val="2E74B5"/>
      <w:sz w:val="32"/>
      <w:szCs w:val="32"/>
    </w:rPr>
  </w:style>
  <w:style w:type="paragraph" w:customStyle="1" w:styleId="Heading2">
    <w:name w:val="Heading 2"/>
    <w:qFormat/>
    <w:rsid w:val="002154F5"/>
    <w:rPr>
      <w:color w:val="2E74B5"/>
      <w:sz w:val="26"/>
      <w:szCs w:val="26"/>
    </w:rPr>
  </w:style>
  <w:style w:type="paragraph" w:customStyle="1" w:styleId="Heading3">
    <w:name w:val="Heading 3"/>
    <w:qFormat/>
    <w:rsid w:val="002154F5"/>
    <w:rPr>
      <w:color w:val="1F4D78"/>
    </w:rPr>
  </w:style>
  <w:style w:type="paragraph" w:customStyle="1" w:styleId="Heading4">
    <w:name w:val="Heading 4"/>
    <w:qFormat/>
    <w:rsid w:val="002154F5"/>
    <w:rPr>
      <w:i/>
      <w:iCs/>
      <w:color w:val="2E74B5"/>
    </w:rPr>
  </w:style>
  <w:style w:type="paragraph" w:customStyle="1" w:styleId="Heading5">
    <w:name w:val="Heading 5"/>
    <w:qFormat/>
    <w:rsid w:val="002154F5"/>
    <w:rPr>
      <w:color w:val="2E74B5"/>
    </w:rPr>
  </w:style>
  <w:style w:type="paragraph" w:customStyle="1" w:styleId="Heading6">
    <w:name w:val="Heading 6"/>
    <w:qFormat/>
    <w:rsid w:val="002154F5"/>
    <w:rPr>
      <w:color w:val="1F4D78"/>
    </w:rPr>
  </w:style>
  <w:style w:type="paragraph" w:customStyle="1" w:styleId="1">
    <w:name w:val="Строгий1"/>
    <w:qFormat/>
    <w:rsid w:val="002154F5"/>
    <w:rPr>
      <w:b/>
      <w:bCs/>
    </w:rPr>
  </w:style>
  <w:style w:type="paragraph" w:styleId="a4">
    <w:name w:val="List Paragraph"/>
    <w:qFormat/>
    <w:rsid w:val="002154F5"/>
  </w:style>
  <w:style w:type="character" w:styleId="a5">
    <w:name w:val="Hyperlink"/>
    <w:uiPriority w:val="99"/>
    <w:unhideWhenUsed/>
    <w:rsid w:val="002154F5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2154F5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2154F5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2154F5"/>
    <w:rPr>
      <w:sz w:val="20"/>
      <w:szCs w:val="20"/>
    </w:rPr>
  </w:style>
  <w:style w:type="character" w:styleId="a9">
    <w:name w:val="endnote reference"/>
    <w:uiPriority w:val="99"/>
    <w:semiHidden/>
    <w:unhideWhenUsed/>
    <w:rsid w:val="002154F5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2154F5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2154F5"/>
    <w:rPr>
      <w:sz w:val="20"/>
      <w:szCs w:val="20"/>
    </w:rPr>
  </w:style>
  <w:style w:type="paragraph" w:customStyle="1" w:styleId="Heading10">
    <w:name w:val="Heading 1"/>
    <w:qFormat/>
    <w:rsid w:val="002154F5"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customStyle="1" w:styleId="Heading20">
    <w:name w:val="Heading 2"/>
    <w:qFormat/>
    <w:rsid w:val="002154F5"/>
    <w:pPr>
      <w:spacing w:before="260" w:after="140"/>
      <w:outlineLvl w:val="1"/>
    </w:pPr>
    <w:rPr>
      <w:b/>
      <w:bCs/>
      <w:color w:val="2E5090"/>
      <w:sz w:val="28"/>
      <w:szCs w:val="28"/>
    </w:rPr>
  </w:style>
  <w:style w:type="paragraph" w:customStyle="1" w:styleId="Heading30">
    <w:name w:val="Heading 3"/>
    <w:qFormat/>
    <w:rsid w:val="002154F5"/>
    <w:pPr>
      <w:spacing w:before="200" w:after="100"/>
      <w:outlineLvl w:val="2"/>
    </w:pPr>
    <w:rPr>
      <w:b/>
      <w:bCs/>
      <w:i/>
      <w:iCs/>
      <w:color w:val="404040"/>
      <w:sz w:val="26"/>
      <w:szCs w:val="26"/>
    </w:rPr>
  </w:style>
  <w:style w:type="paragraph" w:styleId="ac">
    <w:name w:val="header"/>
    <w:basedOn w:val="a"/>
    <w:link w:val="ad"/>
    <w:uiPriority w:val="99"/>
    <w:semiHidden/>
    <w:unhideWhenUsed/>
    <w:rsid w:val="000667C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0667CC"/>
  </w:style>
  <w:style w:type="paragraph" w:styleId="ae">
    <w:name w:val="footer"/>
    <w:basedOn w:val="a"/>
    <w:link w:val="af"/>
    <w:uiPriority w:val="99"/>
    <w:unhideWhenUsed/>
    <w:rsid w:val="000667C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667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2170</Words>
  <Characters>12374</Characters>
  <Application>Microsoft Office Word</Application>
  <DocSecurity>0</DocSecurity>
  <Lines>103</Lines>
  <Paragraphs>29</Paragraphs>
  <ScaleCrop>false</ScaleCrop>
  <Company>diakov.net</Company>
  <LinksUpToDate>false</LinksUpToDate>
  <CharactersWithSpaces>14515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5</cp:revision>
  <dcterms:created xsi:type="dcterms:W3CDTF">2026-04-04T15:41:00Z</dcterms:created>
  <dcterms:modified xsi:type="dcterms:W3CDTF">2026-04-04T15:55:00Z</dcterms:modified>
</cp:coreProperties>
</file>