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Общие сведения о позиционировании глагольных форм в санскритской паде, полученное путем анализа данных цифрового корпуса Санскрита О.Хелльвига.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u-RU"/>
        </w:rPr>
      </w:pPr>
      <w:r>
        <w:rPr>
          <w:lang w:val="ru-RU"/>
        </w:rPr>
        <w:t>Всего лемм глаголов в корпусе: 9458 или 10,5% от всех лемм корпуса;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u-RU"/>
        </w:rPr>
      </w:pPr>
      <w:r>
        <w:rPr>
          <w:lang w:val="ru-RU"/>
        </w:rPr>
        <w:t>частотность глагольных форм составляет: 781 619, что составляет 17,1% всех словоупотреблений в корпусе: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u-RU"/>
        </w:rPr>
      </w:pPr>
      <w:r>
        <w:rPr>
          <w:lang w:val="ru-RU"/>
        </w:rPr>
        <w:t>Средняя длина пады в текстах корпуса составляет: 9,7 леммы: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u-RU"/>
        </w:rPr>
      </w:pPr>
      <w:r>
        <w:rPr>
          <w:lang w:val="ru-RU"/>
        </w:rPr>
        <w:t>самая длинная пада: 754 леммы;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u-RU"/>
        </w:rPr>
      </w:pPr>
      <w:r>
        <w:rPr>
          <w:lang w:val="ru-RU"/>
        </w:rPr>
        <w:t xml:space="preserve">80% глагольных форм расположены </w:t>
      </w:r>
      <w:r>
        <w:rPr>
          <w:lang w:val="en-US"/>
        </w:rPr>
        <w:t>c 1</w:t>
      </w:r>
      <w:r>
        <w:rPr>
          <w:lang w:val="ru-RU"/>
        </w:rPr>
        <w:t xml:space="preserve"> по </w:t>
      </w:r>
      <w:r>
        <w:rPr>
          <w:lang w:val="en-US"/>
        </w:rPr>
        <w:t>6 п</w:t>
      </w:r>
      <w:r>
        <w:rPr>
          <w:lang w:val="ru-RU"/>
        </w:rPr>
        <w:t>озиции;</w:t>
      </w:r>
    </w:p>
    <w:p>
      <w:pPr>
        <w:pStyle w:val="Normal"/>
        <w:numPr>
          <w:ilvl w:val="0"/>
          <w:numId w:val="1"/>
        </w:numPr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1" name="Объект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59450" cy="3239770"/>
            <wp:effectExtent l="0" t="0" r="0" b="0"/>
            <wp:wrapSquare wrapText="largest"/>
            <wp:docPr id="2" name="Объект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auto"/>
    <w:pitch w:val="variable"/>
  </w:font>
  <w:font w:name="Liberation Sans">
    <w:altName w:val="Arial"/>
    <w:charset w:val="cc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2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Arial"/>
              </a:defRPr>
            </a:pPr>
            <a:r>
              <a:rPr b="0" sz="1300" strike="noStrike" u="none">
                <a:solidFill>
                  <a:srgbClr val="000000"/>
                </a:solidFill>
                <a:uFillTx/>
                <a:latin typeface="Arial"/>
                <a:ea typeface="DejaVu Sans"/>
              </a:rPr>
              <a:t>Позиционирование глагольных форм в отдельных стопах строф санскритских текстов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Строка 9458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9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9"/>
                <c:pt idx="0">
                  <c:v>11.2968082915078</c:v>
                </c:pt>
                <c:pt idx="1">
                  <c:v>16.6670718086433</c:v>
                </c:pt>
                <c:pt idx="2">
                  <c:v>17.7660727285289</c:v>
                </c:pt>
                <c:pt idx="3">
                  <c:v>16.0999156878223</c:v>
                </c:pt>
                <c:pt idx="4">
                  <c:v>13.1040826796687</c:v>
                </c:pt>
                <c:pt idx="5">
                  <c:v>8.96152729142971</c:v>
                </c:pt>
                <c:pt idx="6">
                  <c:v>4.87974319969192</c:v>
                </c:pt>
                <c:pt idx="7">
                  <c:v>2.65244319802871</c:v>
                </c:pt>
                <c:pt idx="8">
                  <c:v>1.63647506009961</c:v>
                </c:pt>
                <c:pt idx="9">
                  <c:v>1.06420135641534</c:v>
                </c:pt>
                <c:pt idx="10">
                  <c:v>0.756890505476453</c:v>
                </c:pt>
                <c:pt idx="11">
                  <c:v>0.579822138407587</c:v>
                </c:pt>
                <c:pt idx="12">
                  <c:v>0.454441358257668</c:v>
                </c:pt>
                <c:pt idx="13">
                  <c:v>0.398787644619693</c:v>
                </c:pt>
                <c:pt idx="14">
                  <c:v>0.337376650260549</c:v>
                </c:pt>
                <c:pt idx="15">
                  <c:v>0.282874392766808</c:v>
                </c:pt>
                <c:pt idx="16">
                  <c:v>0.253448291303052</c:v>
                </c:pt>
                <c:pt idx="17">
                  <c:v>0.215961996829657</c:v>
                </c:pt>
                <c:pt idx="18">
                  <c:v>0.180778614644731</c:v>
                </c:pt>
                <c:pt idx="19">
                  <c:v>0.171822844634022</c:v>
                </c:pt>
                <c:pt idx="20">
                  <c:v>0.161331799764335</c:v>
                </c:pt>
                <c:pt idx="21">
                  <c:v>0.131521879585834</c:v>
                </c:pt>
                <c:pt idx="22">
                  <c:v>0.119239680714005</c:v>
                </c:pt>
                <c:pt idx="23">
                  <c:v>0.114250037422325</c:v>
                </c:pt>
                <c:pt idx="24">
                  <c:v>0.0981296514030493</c:v>
                </c:pt>
                <c:pt idx="25">
                  <c:v>0.094803222541929</c:v>
                </c:pt>
                <c:pt idx="26">
                  <c:v>0.0767637429489304</c:v>
                </c:pt>
                <c:pt idx="27">
                  <c:v>0.0774034408068381</c:v>
                </c:pt>
                <c:pt idx="28">
                  <c:v>0.0701108852266897</c:v>
                </c:pt>
                <c:pt idx="29">
                  <c:v>0.0615389339307258</c:v>
                </c:pt>
                <c:pt idx="30">
                  <c:v>0.0617948130738889</c:v>
                </c:pt>
                <c:pt idx="31">
                  <c:v>0.0484890976294077</c:v>
                </c:pt>
                <c:pt idx="32">
                  <c:v>0.0443950313387981</c:v>
                </c:pt>
                <c:pt idx="33">
                  <c:v>0.0502802516315494</c:v>
                </c:pt>
                <c:pt idx="34">
                  <c:v>0.0386377506176283</c:v>
                </c:pt>
                <c:pt idx="35">
                  <c:v>0.0387656901892098</c:v>
                </c:pt>
                <c:pt idx="36">
                  <c:v>0.0373583549018128</c:v>
                </c:pt>
                <c:pt idx="37">
                  <c:v>0.034159865612274</c:v>
                </c:pt>
                <c:pt idx="38">
                  <c:v>0.0347995634701818</c:v>
                </c:pt>
                <c:pt idx="39">
                  <c:v>0.0321128324669692</c:v>
                </c:pt>
                <c:pt idx="40">
                  <c:v>0.0298099201785013</c:v>
                </c:pt>
                <c:pt idx="41">
                  <c:v>0.0285305244626858</c:v>
                </c:pt>
                <c:pt idx="42">
                  <c:v>0.0267393704605441</c:v>
                </c:pt>
                <c:pt idx="43">
                  <c:v>0.0237967603141684</c:v>
                </c:pt>
                <c:pt idx="44">
                  <c:v>0.0248202768868208</c:v>
                </c:pt>
                <c:pt idx="45">
                  <c:v>0.0245643977436577</c:v>
                </c:pt>
                <c:pt idx="46">
                  <c:v>0.0200865127383034</c:v>
                </c:pt>
                <c:pt idx="47">
                  <c:v>0.0204703314530481</c:v>
                </c:pt>
                <c:pt idx="48">
                  <c:v>0.0170159630203462</c:v>
                </c:pt>
              </c:numCache>
            </c:numRef>
          </c:val>
        </c:ser>
        <c:gapWidth val="100"/>
        <c:overlap val="0"/>
        <c:axId val="110263"/>
        <c:axId val="54706101"/>
      </c:barChart>
      <c:catAx>
        <c:axId val="110263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1300" strike="noStrike" u="none">
                    <a:uFillTx/>
                    <a:latin typeface="Arial"/>
                  </a:defRPr>
                </a:pPr>
                <a:r>
                  <a:rPr b="0" sz="9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rPr>
                  <a:t>Позиции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54706101"/>
        <c:crosses val="autoZero"/>
        <c:auto val="1"/>
        <c:lblAlgn val="ctr"/>
        <c:lblOffset val="100"/>
        <c:noMultiLvlLbl val="0"/>
      </c:catAx>
      <c:valAx>
        <c:axId val="54706101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1300" strike="noStrike" u="none">
                    <a:uFillTx/>
                    <a:latin typeface="Arial"/>
                  </a:defRPr>
                </a:pPr>
                <a:r>
                  <a:rPr b="0" sz="900" strike="noStrike" u="none">
                    <a:solidFill>
                      <a:srgbClr val="000000"/>
                    </a:solidFill>
                    <a:uFillTx/>
                    <a:latin typeface="Arial"/>
                    <a:ea typeface="DejaVu Sans"/>
                  </a:rPr>
                  <a:t>%появления форм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#,##0.00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  <a:ea typeface="DejaVu Sans"/>
              </a:defRPr>
            </a:pPr>
          </a:p>
        </c:txPr>
        <c:crossAx val="110263"/>
        <c:crosses val="autoZero"/>
        <c:crossBetween val="between"/>
      </c:valAx>
      <c:spPr>
        <a:noFill/>
        <a:ln w="0">
          <a:solidFill>
            <a:srgbClr val="b3b3b3"/>
          </a:solidFill>
        </a:ln>
      </c:spPr>
    </c:plotArea>
    <c:plotVisOnly val="1"/>
    <c:dispBlanksAs val="gap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sz="1300" strike="noStrike" u="none">
                <a:uFillTx/>
                <a:latin typeface="Arial"/>
              </a:defRPr>
            </a:pPr>
            <a:r>
              <a:rPr b="0" sz="1300" strike="noStrike" u="none">
                <a:uFillTx/>
                <a:latin typeface="Arial"/>
              </a:rPr>
              <a:t>Распределение падежей в текстах DCS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Столбец B</c:v>
                </c:pt>
              </c:strCache>
            </c:strRef>
          </c:tx>
          <c:spPr>
            <a:solidFill>
              <a:srgbClr val="004586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004586"/>
              </a:solidFill>
              <a:ln w="0">
                <a:noFill/>
              </a:ln>
            </c:spPr>
          </c:dPt>
          <c:dPt>
            <c:idx val="1"/>
            <c:spPr>
              <a:solidFill>
                <a:srgbClr val="ff420e"/>
              </a:solidFill>
              <a:ln w="0">
                <a:noFill/>
              </a:ln>
            </c:spPr>
          </c:dPt>
          <c:dPt>
            <c:idx val="2"/>
            <c:spPr>
              <a:solidFill>
                <a:srgbClr val="ffd320"/>
              </a:solidFill>
              <a:ln w="0">
                <a:noFill/>
              </a:ln>
            </c:spPr>
          </c:dPt>
          <c:dPt>
            <c:idx val="3"/>
            <c:spPr>
              <a:solidFill>
                <a:srgbClr val="579d1c"/>
              </a:solidFill>
              <a:ln w="0">
                <a:noFill/>
              </a:ln>
            </c:spPr>
          </c:dPt>
          <c:dPt>
            <c:idx val="4"/>
            <c:spPr>
              <a:solidFill>
                <a:srgbClr val="7e0021"/>
              </a:solidFill>
              <a:ln w="0">
                <a:noFill/>
              </a:ln>
            </c:spPr>
          </c:dPt>
          <c:dPt>
            <c:idx val="5"/>
            <c:spPr>
              <a:solidFill>
                <a:srgbClr val="83caff"/>
              </a:solidFill>
              <a:ln w="0">
                <a:noFill/>
              </a:ln>
            </c:spPr>
          </c:dPt>
          <c:dPt>
            <c:idx val="6"/>
            <c:spPr>
              <a:solidFill>
                <a:srgbClr val="314004"/>
              </a:solidFill>
              <a:ln w="0">
                <a:noFill/>
              </a:ln>
            </c:spPr>
          </c:dPt>
          <c:dPt>
            <c:idx val="7"/>
            <c:spPr>
              <a:solidFill>
                <a:srgbClr val="aecf00"/>
              </a:solidFill>
              <a:ln w="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b="0" sz="1000" strike="noStrike" u="non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b="0" sz="1000" strike="noStrike" u="non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2"/>
              <c:txPr>
                <a:bodyPr wrap="none"/>
                <a:lstStyle/>
                <a:p>
                  <a:pPr>
                    <a:defRPr b="0" sz="1000" strike="noStrike" u="non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3"/>
              <c:txPr>
                <a:bodyPr wrap="none"/>
                <a:lstStyle/>
                <a:p>
                  <a:pPr>
                    <a:defRPr b="0" sz="1000" strike="noStrike" u="non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4"/>
              <c:txPr>
                <a:bodyPr wrap="none"/>
                <a:lstStyle/>
                <a:p>
                  <a:pPr>
                    <a:defRPr b="0" sz="1000" strike="noStrike" u="non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5"/>
              <c:txPr>
                <a:bodyPr wrap="none"/>
                <a:lstStyle/>
                <a:p>
                  <a:pPr>
                    <a:defRPr b="0" sz="1000" strike="noStrike" u="non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6"/>
              <c:txPr>
                <a:bodyPr wrap="none"/>
                <a:lstStyle/>
                <a:p>
                  <a:pPr>
                    <a:defRPr b="0" sz="1000" strike="noStrike" u="non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7"/>
              <c:txPr>
                <a:bodyPr wrap="none"/>
                <a:lstStyle/>
                <a:p>
                  <a:pPr>
                    <a:defRPr b="0" sz="1000" strike="noStrike" u="none">
                      <a:uFillTx/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0" sz="1000" strike="noStrike" u="none">
                    <a:uFillTx/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</c:dLbls>
          <c:cat>
            <c:strRef>
              <c:f>categories</c:f>
              <c:strCache>
                <c:ptCount val="8"/>
                <c:pt idx="0">
                  <c:v>Nom.</c:v>
                </c:pt>
                <c:pt idx="1">
                  <c:v>Voc.</c:v>
                </c:pt>
                <c:pt idx="2">
                  <c:v>Acc.</c:v>
                </c:pt>
                <c:pt idx="3">
                  <c:v>Ins.</c:v>
                </c:pt>
                <c:pt idx="4">
                  <c:v>Dat.</c:v>
                </c:pt>
                <c:pt idx="5">
                  <c:v>Abl.</c:v>
                </c:pt>
                <c:pt idx="6">
                  <c:v>Gen.</c:v>
                </c:pt>
                <c:pt idx="7">
                  <c:v>Loc.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8"/>
                <c:pt idx="0">
                  <c:v>45.7608275917337</c:v>
                </c:pt>
                <c:pt idx="1">
                  <c:v>2.66695160242976</c:v>
                </c:pt>
                <c:pt idx="2">
                  <c:v>22.4434839210985</c:v>
                </c:pt>
                <c:pt idx="3">
                  <c:v>8.92833642952181</c:v>
                </c:pt>
                <c:pt idx="4">
                  <c:v>1.44374437019441</c:v>
                </c:pt>
                <c:pt idx="5">
                  <c:v>2.43639719154951</c:v>
                </c:pt>
                <c:pt idx="6">
                  <c:v>8.4973187099481</c:v>
                </c:pt>
                <c:pt idx="7">
                  <c:v>7.8229401835243</c:v>
                </c:pt>
              </c:numCache>
            </c:numRef>
          </c:val>
        </c:ser>
        <c:firstSliceAng val="0"/>
      </c:pieChart>
      <c:spPr>
        <a:noFill/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uFillTx/>
              <a:latin typeface="Arial"/>
            </a:defRPr>
          </a:pPr>
        </a:p>
      </c:txPr>
    </c:legend>
    <c:plotVisOnly val="1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LibreOffice/24.8.2.1$Windows_X86_64 LibreOffice_project/0f794b6e29741098670a3b95d60478a65d05ef13</Application>
  <AppVersion>15.0000</AppVersion>
  <Pages>1</Pages>
  <Words>71</Words>
  <Characters>398</Characters>
  <CharactersWithSpaces>457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2024-12-22T09:31:47Z</dcterms:created>
  <dc:creator/>
  <dc:description/>
  <dc:language>ru-RU</dc:language>
  <cp:lastModifiedBy/>
  <dcterms:modified xsi:type="dcterms:W3CDTF">2024-12-24T18:28:11Z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