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Сочетаемость падежа и части речи в Санскрите с выделением прилагательных и глагольных форм (неличных), характеризуемых категорией падежа.</w:t>
      </w:r>
    </w:p>
    <w:p>
      <w:pPr>
        <w:pStyle w:val="BodyText"/>
        <w:bidi w:val="0"/>
        <w:jc w:val="left"/>
        <w:rPr/>
      </w:pPr>
      <w:r>
        <w:rPr/>
        <w:t>76,6% прилагательных используются отдельно, остальные 23,4% входят в состав композитов</w:t>
      </w:r>
    </w:p>
    <w:p>
      <w:pPr>
        <w:pStyle w:val="BodyText"/>
        <w:bidi w:val="0"/>
        <w:jc w:val="left"/>
        <w:rPr/>
      </w:pPr>
      <w:r>
        <w:rPr/>
        <w:t>72,</w:t>
      </w:r>
      <w:r>
        <w:rPr>
          <w:lang w:val="ru-RU"/>
        </w:rPr>
        <w:t>8% существительных используются отдельно, 27,2% находятся в составе композитов,</w:t>
      </w:r>
    </w:p>
    <w:p>
      <w:pPr>
        <w:pStyle w:val="BodyText"/>
        <w:bidi w:val="0"/>
        <w:jc w:val="left"/>
        <w:rPr/>
      </w:pPr>
      <w:r>
        <w:rPr/>
        <w:t>34,</w:t>
      </w:r>
      <w:r>
        <w:rPr>
          <w:lang w:val="ru-RU"/>
        </w:rPr>
        <w:t xml:space="preserve">4% глагольных форм могут характеризоваться категориями адежа. </w:t>
      </w:r>
      <w:r>
        <w:rPr>
          <w:lang w:val="ru-RU"/>
        </w:rPr>
        <w:t>Что составляет 71,6% от всех неличных глагольных форм.</w:t>
      </w:r>
    </w:p>
    <w:p>
      <w:pPr>
        <w:pStyle w:val="BodyText"/>
        <w:bidi w:val="0"/>
        <w:jc w:val="left"/>
        <w:rPr>
          <w:lang w:val="ru-RU"/>
        </w:rPr>
      </w:pPr>
      <w:r>
        <w:rPr>
          <w:lang w:val="ru-RU"/>
        </w:rPr>
        <w:t>91,8% местоимений встречаются отдельно, 8,2%- в составе Оливеровских композитов.</w:t>
      </w:r>
    </w:p>
    <w:tbl>
      <w:tblPr>
        <w:tblW w:w="9634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91"/>
        <w:gridCol w:w="1003"/>
        <w:gridCol w:w="823"/>
        <w:gridCol w:w="1003"/>
        <w:gridCol w:w="1003"/>
        <w:gridCol w:w="1022"/>
        <w:gridCol w:w="843"/>
        <w:gridCol w:w="843"/>
        <w:gridCol w:w="524"/>
      </w:tblGrid>
      <w:tr>
        <w:trPr/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Падеж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N.%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V.%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A.%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I.%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Ab.%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D.%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G.%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L.%</w:t>
            </w:r>
          </w:p>
        </w:tc>
      </w:tr>
      <w:tr>
        <w:trPr/>
        <w:tc>
          <w:tcPr>
            <w:tcW w:w="20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Прилагательные</w:t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54,01</w:t>
            </w:r>
          </w:p>
        </w:tc>
        <w:tc>
          <w:tcPr>
            <w:tcW w:w="8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3,18</w:t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23,29</w:t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7,41</w:t>
            </w:r>
          </w:p>
        </w:tc>
        <w:tc>
          <w:tcPr>
            <w:tcW w:w="10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0,92</w:t>
            </w:r>
          </w:p>
        </w:tc>
        <w:tc>
          <w:tcPr>
            <w:tcW w:w="8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0,74</w:t>
            </w:r>
          </w:p>
        </w:tc>
        <w:tc>
          <w:tcPr>
            <w:tcW w:w="8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5,09</w:t>
            </w:r>
          </w:p>
        </w:tc>
        <w:tc>
          <w:tcPr>
            <w:tcW w:w="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4,88</w:t>
            </w:r>
          </w:p>
        </w:tc>
      </w:tr>
      <w:tr>
        <w:trPr/>
        <w:tc>
          <w:tcPr>
            <w:tcW w:w="20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Существительные</w:t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39,23</w:t>
            </w:r>
          </w:p>
        </w:tc>
        <w:tc>
          <w:tcPr>
            <w:tcW w:w="8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3,71</w:t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23,40</w:t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10,49</w:t>
            </w:r>
          </w:p>
        </w:tc>
        <w:tc>
          <w:tcPr>
            <w:tcW w:w="10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1,51</w:t>
            </w:r>
          </w:p>
        </w:tc>
        <w:tc>
          <w:tcPr>
            <w:tcW w:w="8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3,56</w:t>
            </w:r>
          </w:p>
        </w:tc>
        <w:tc>
          <w:tcPr>
            <w:tcW w:w="8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7,57</w:t>
            </w:r>
          </w:p>
        </w:tc>
        <w:tc>
          <w:tcPr>
            <w:tcW w:w="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10,08</w:t>
            </w:r>
          </w:p>
        </w:tc>
      </w:tr>
      <w:tr>
        <w:trPr/>
        <w:tc>
          <w:tcPr>
            <w:tcW w:w="20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Отглагольные:</w:t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67,47</w:t>
            </w:r>
          </w:p>
        </w:tc>
        <w:tc>
          <w:tcPr>
            <w:tcW w:w="8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0,26</w:t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15,60</w:t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4,08</w:t>
            </w:r>
          </w:p>
        </w:tc>
        <w:tc>
          <w:tcPr>
            <w:tcW w:w="10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0,54</w:t>
            </w:r>
          </w:p>
        </w:tc>
        <w:tc>
          <w:tcPr>
            <w:tcW w:w="8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0,36</w:t>
            </w:r>
          </w:p>
        </w:tc>
        <w:tc>
          <w:tcPr>
            <w:tcW w:w="8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5,16</w:t>
            </w:r>
          </w:p>
        </w:tc>
        <w:tc>
          <w:tcPr>
            <w:tcW w:w="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6,29</w:t>
            </w:r>
          </w:p>
        </w:tc>
      </w:tr>
    </w:tbl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70"/>
        <w:gridCol w:w="1071"/>
        <w:gridCol w:w="1071"/>
        <w:gridCol w:w="1071"/>
        <w:gridCol w:w="1070"/>
        <w:gridCol w:w="1071"/>
        <w:gridCol w:w="1071"/>
        <w:gridCol w:w="1071"/>
        <w:gridCol w:w="1071"/>
      </w:tblGrid>
      <w:tr>
        <w:trPr/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Местоимения: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41,63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0,01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20,18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6,95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2,09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1,29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15,65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>3,1</w:t>
            </w:r>
          </w:p>
        </w:tc>
      </w:tr>
    </w:tbl>
    <w:p>
      <w:pPr>
        <w:pStyle w:val="BodyText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BodyText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BodyText"/>
        <w:bidi w:val="0"/>
        <w:spacing w:before="0" w:after="140"/>
        <w:jc w:val="left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9770"/>
            <wp:effectExtent l="0" t="0" r="0" b="0"/>
            <wp:wrapSquare wrapText="largest"/>
            <wp:docPr id="1" name="Объект1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trike="noStrike" u="none">
                <a:uFillTx/>
                <a:latin typeface="Arial"/>
              </a:defRPr>
            </a:pPr>
            <a:r>
              <a:rPr b="0" sz="1300" strike="noStrike" u="none">
                <a:uFillTx/>
                <a:latin typeface="Arial"/>
              </a:rPr>
              <a:t>Сочетаемость падежей и частей речи в Санскрите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N.%</c:v>
                </c:pt>
              </c:strCache>
            </c:strRef>
          </c:tx>
          <c:spPr>
            <a:solidFill>
              <a:srgbClr val="004586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Прилагательные</c:v>
                </c:pt>
                <c:pt idx="1">
                  <c:v>Существительные</c:v>
                </c:pt>
                <c:pt idx="2">
                  <c:v>Отглагольные:</c:v>
                </c:pt>
                <c:pt idx="3">
                  <c:v>Местоимения: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54.01</c:v>
                </c:pt>
                <c:pt idx="1">
                  <c:v>39.23</c:v>
                </c:pt>
                <c:pt idx="2">
                  <c:v>67.47</c:v>
                </c:pt>
                <c:pt idx="3">
                  <c:v>41.63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V.%</c:v>
                </c:pt>
              </c:strCache>
            </c:strRef>
          </c:tx>
          <c:spPr>
            <a:solidFill>
              <a:srgbClr val="ff420e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Прилагательные</c:v>
                </c:pt>
                <c:pt idx="1">
                  <c:v>Существительные</c:v>
                </c:pt>
                <c:pt idx="2">
                  <c:v>Отглагольные:</c:v>
                </c:pt>
                <c:pt idx="3">
                  <c:v>Местоимения: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3.18</c:v>
                </c:pt>
                <c:pt idx="1">
                  <c:v>3.71</c:v>
                </c:pt>
                <c:pt idx="2">
                  <c:v>0.26</c:v>
                </c:pt>
                <c:pt idx="3">
                  <c:v>0.01</c:v>
                </c:pt>
              </c:numCache>
            </c:numRef>
          </c:val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A.%</c:v>
                </c:pt>
              </c:strCache>
            </c:strRef>
          </c:tx>
          <c:spPr>
            <a:solidFill>
              <a:srgbClr val="ffd320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Прилагательные</c:v>
                </c:pt>
                <c:pt idx="1">
                  <c:v>Существительные</c:v>
                </c:pt>
                <c:pt idx="2">
                  <c:v>Отглагольные:</c:v>
                </c:pt>
                <c:pt idx="3">
                  <c:v>Местоимения: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4"/>
                <c:pt idx="0">
                  <c:v>23.29</c:v>
                </c:pt>
                <c:pt idx="1">
                  <c:v>23.4</c:v>
                </c:pt>
                <c:pt idx="2">
                  <c:v>15.6</c:v>
                </c:pt>
                <c:pt idx="3">
                  <c:v>20.18</c:v>
                </c:pt>
              </c:numCache>
            </c:numRef>
          </c:val>
        </c:ser>
        <c:ser>
          <c:idx val="3"/>
          <c:order val="3"/>
          <c:tx>
            <c:strRef>
              <c:f>label 3</c:f>
              <c:strCache>
                <c:ptCount val="1"/>
                <c:pt idx="0">
                  <c:v>I.%</c:v>
                </c:pt>
              </c:strCache>
            </c:strRef>
          </c:tx>
          <c:spPr>
            <a:solidFill>
              <a:srgbClr val="579d1c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Прилагательные</c:v>
                </c:pt>
                <c:pt idx="1">
                  <c:v>Существительные</c:v>
                </c:pt>
                <c:pt idx="2">
                  <c:v>Отглагольные:</c:v>
                </c:pt>
                <c:pt idx="3">
                  <c:v>Местоимения:</c:v>
                </c:pt>
              </c:strCache>
            </c:strRef>
          </c:cat>
          <c:val>
            <c:numRef>
              <c:f>3</c:f>
              <c:numCache>
                <c:formatCode>General</c:formatCode>
                <c:ptCount val="4"/>
                <c:pt idx="0">
                  <c:v>7.41</c:v>
                </c:pt>
                <c:pt idx="1">
                  <c:v>10.49</c:v>
                </c:pt>
                <c:pt idx="2">
                  <c:v>4.08</c:v>
                </c:pt>
                <c:pt idx="3">
                  <c:v>6.95</c:v>
                </c:pt>
              </c:numCache>
            </c:numRef>
          </c:val>
        </c:ser>
        <c:ser>
          <c:idx val="4"/>
          <c:order val="4"/>
          <c:tx>
            <c:strRef>
              <c:f>label 4</c:f>
              <c:strCache>
                <c:ptCount val="1"/>
                <c:pt idx="0">
                  <c:v>Ab.%</c:v>
                </c:pt>
              </c:strCache>
            </c:strRef>
          </c:tx>
          <c:spPr>
            <a:solidFill>
              <a:srgbClr val="7e0021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Прилагательные</c:v>
                </c:pt>
                <c:pt idx="1">
                  <c:v>Существительные</c:v>
                </c:pt>
                <c:pt idx="2">
                  <c:v>Отглагольные:</c:v>
                </c:pt>
                <c:pt idx="3">
                  <c:v>Местоимения:</c:v>
                </c:pt>
              </c:strCache>
            </c:strRef>
          </c:cat>
          <c:val>
            <c:numRef>
              <c:f>4</c:f>
              <c:numCache>
                <c:formatCode>General</c:formatCode>
                <c:ptCount val="4"/>
                <c:pt idx="0">
                  <c:v>0.92</c:v>
                </c:pt>
                <c:pt idx="1">
                  <c:v>1.51</c:v>
                </c:pt>
                <c:pt idx="2">
                  <c:v>0.54</c:v>
                </c:pt>
                <c:pt idx="3">
                  <c:v>2.09</c:v>
                </c:pt>
              </c:numCache>
            </c:numRef>
          </c:val>
        </c:ser>
        <c:ser>
          <c:idx val="5"/>
          <c:order val="5"/>
          <c:tx>
            <c:strRef>
              <c:f>label 5</c:f>
              <c:strCache>
                <c:ptCount val="1"/>
                <c:pt idx="0">
                  <c:v>D.%</c:v>
                </c:pt>
              </c:strCache>
            </c:strRef>
          </c:tx>
          <c:spPr>
            <a:solidFill>
              <a:srgbClr val="83caff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Прилагательные</c:v>
                </c:pt>
                <c:pt idx="1">
                  <c:v>Существительные</c:v>
                </c:pt>
                <c:pt idx="2">
                  <c:v>Отглагольные:</c:v>
                </c:pt>
                <c:pt idx="3">
                  <c:v>Местоимения:</c:v>
                </c:pt>
              </c:strCache>
            </c:strRef>
          </c:cat>
          <c:val>
            <c:numRef>
              <c:f>5</c:f>
              <c:numCache>
                <c:formatCode>General</c:formatCode>
                <c:ptCount val="4"/>
                <c:pt idx="0">
                  <c:v>0.74</c:v>
                </c:pt>
                <c:pt idx="1">
                  <c:v>3.56</c:v>
                </c:pt>
                <c:pt idx="2">
                  <c:v>0.36</c:v>
                </c:pt>
                <c:pt idx="3">
                  <c:v>1.29</c:v>
                </c:pt>
              </c:numCache>
            </c:numRef>
          </c:val>
        </c:ser>
        <c:ser>
          <c:idx val="6"/>
          <c:order val="6"/>
          <c:tx>
            <c:strRef>
              <c:f>label 6</c:f>
              <c:strCache>
                <c:ptCount val="1"/>
                <c:pt idx="0">
                  <c:v>G.%</c:v>
                </c:pt>
              </c:strCache>
            </c:strRef>
          </c:tx>
          <c:spPr>
            <a:solidFill>
              <a:srgbClr val="314004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Прилагательные</c:v>
                </c:pt>
                <c:pt idx="1">
                  <c:v>Существительные</c:v>
                </c:pt>
                <c:pt idx="2">
                  <c:v>Отглагольные:</c:v>
                </c:pt>
                <c:pt idx="3">
                  <c:v>Местоимения:</c:v>
                </c:pt>
              </c:strCache>
            </c:strRef>
          </c:cat>
          <c:val>
            <c:numRef>
              <c:f>6</c:f>
              <c:numCache>
                <c:formatCode>General</c:formatCode>
                <c:ptCount val="4"/>
                <c:pt idx="0">
                  <c:v>5.09</c:v>
                </c:pt>
                <c:pt idx="1">
                  <c:v>7.57</c:v>
                </c:pt>
                <c:pt idx="2">
                  <c:v>5.16</c:v>
                </c:pt>
                <c:pt idx="3">
                  <c:v>15.65</c:v>
                </c:pt>
              </c:numCache>
            </c:numRef>
          </c:val>
        </c:ser>
        <c:ser>
          <c:idx val="7"/>
          <c:order val="7"/>
          <c:tx>
            <c:strRef>
              <c:f>label 7</c:f>
              <c:strCache>
                <c:ptCount val="1"/>
                <c:pt idx="0">
                  <c:v>L.%</c:v>
                </c:pt>
              </c:strCache>
            </c:strRef>
          </c:tx>
          <c:spPr>
            <a:solidFill>
              <a:srgbClr val="aecf00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Прилагательные</c:v>
                </c:pt>
                <c:pt idx="1">
                  <c:v>Существительные</c:v>
                </c:pt>
                <c:pt idx="2">
                  <c:v>Отглагольные:</c:v>
                </c:pt>
                <c:pt idx="3">
                  <c:v>Местоимения:</c:v>
                </c:pt>
              </c:strCache>
            </c:strRef>
          </c:cat>
          <c:val>
            <c:numRef>
              <c:f>7</c:f>
              <c:numCache>
                <c:formatCode>General</c:formatCode>
                <c:ptCount val="4"/>
                <c:pt idx="0">
                  <c:v>4.88</c:v>
                </c:pt>
                <c:pt idx="1">
                  <c:v>10.08</c:v>
                </c:pt>
                <c:pt idx="2">
                  <c:v>6.29</c:v>
                </c:pt>
                <c:pt idx="3">
                  <c:v>3.1</c:v>
                </c:pt>
              </c:numCache>
            </c:numRef>
          </c:val>
        </c:ser>
        <c:gapWidth val="100"/>
        <c:overlap val="0"/>
        <c:axId val="32870890"/>
        <c:axId val="58960356"/>
      </c:barChart>
      <c:catAx>
        <c:axId val="32870890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uFillTx/>
                <a:latin typeface="Arial"/>
              </a:defRPr>
            </a:pPr>
          </a:p>
        </c:txPr>
        <c:crossAx val="58960356"/>
        <c:crosses val="autoZero"/>
        <c:auto val="1"/>
        <c:lblAlgn val="ctr"/>
        <c:lblOffset val="100"/>
        <c:noMultiLvlLbl val="0"/>
      </c:catAx>
      <c:valAx>
        <c:axId val="58960356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uFillTx/>
                <a:latin typeface="Arial"/>
              </a:defRPr>
            </a:pPr>
          </a:p>
        </c:txPr>
        <c:crossAx val="32870890"/>
        <c:crosses val="autoZero"/>
        <c:crossBetween val="between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trike="noStrike" u="none">
              <a:uFillTx/>
              <a:latin typeface="Arial"/>
            </a:defRPr>
          </a:pPr>
        </a:p>
      </c:txPr>
    </c:legend>
    <c:plotVisOnly val="1"/>
    <c:dispBlanksAs val="gap"/>
  </c:chart>
  <c:spPr>
    <a:solidFill>
      <a:srgbClr val="1c1c1c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LibreOffice/25.2.5.2$Windows_X86_64 LibreOffice_project/03d19516eb2e1dd5d4ccd751a0d6f35f35e08022</Application>
  <AppVersion>15.0000</AppVersion>
  <Pages>1</Pages>
  <Words>105</Words>
  <Characters>671</Characters>
  <CharactersWithSpaces>726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2025-08-30T20:44:21Z</dcterms:created>
  <dc:creator/>
  <dc:description/>
  <dc:language>ru-RU</dc:language>
  <cp:lastModifiedBy/>
  <dcterms:modified xsi:type="dcterms:W3CDTF">2025-08-30T22:21:07Z</dcterms:modified>
  <cp:revision>5</cp:revision>
  <dc:subject/>
  <dc:title/>
</cp:coreProperties>
</file>