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Распределение именных частей речи по окончаниям в совокупном ядре.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Совокупное частотное ядро Санскрита собрано путем объединения лексики  частотных лексических ядер различных исторических периодов, и представляет собой наиболее важную лексику языка. </w:t>
      </w:r>
    </w:p>
    <w:p>
      <w:pPr>
        <w:pStyle w:val="Normal"/>
        <w:bidi w:val="0"/>
        <w:jc w:val="left"/>
        <w:rPr/>
      </w:pPr>
      <w:r>
        <w:rPr/>
        <w:t xml:space="preserve">Ядро содержит порядка 7 531 лемм, выбранных по принципу Парето за всю историю развития санскритской литературы, представленную в Цифровом корпусе Санскрита Оливера Хелльвига с древнейших времен и до наших  дней. Поскольку, для решения конкретной задачи нас интересуют только именные леммы, то объем ядра сужаем до 6192 лемм, что составляет  82,3% всех лемм ядра (18% составляют глагольные леммы. </w:t>
      </w:r>
      <w:r>
        <w:rPr>
          <w:b/>
          <w:bCs/>
        </w:rPr>
        <w:t>Это соотношение почти точно совпадает с соотноешнием частоты употребления глаггольных и именных форм в Корпусе в целом!</w:t>
      </w:r>
      <w:r>
        <w:rPr/>
        <w:t xml:space="preserve">).  </w:t>
      </w:r>
    </w:p>
    <w:p>
      <w:pPr>
        <w:pStyle w:val="Normal"/>
        <w:bidi w:val="0"/>
        <w:jc w:val="left"/>
        <w:rPr/>
      </w:pPr>
      <w:r>
        <w:rPr/>
        <w:t>Среди 27 видов именных окончаний, наибольшее распространение имеют, которые составляют уже более 92% использования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186055</wp:posOffset>
            </wp:positionH>
            <wp:positionV relativeFrom="paragraph">
              <wp:posOffset>262890</wp:posOffset>
            </wp:positionV>
            <wp:extent cx="5760085" cy="3239770"/>
            <wp:effectExtent l="0" t="0" r="0" b="0"/>
            <wp:wrapSquare wrapText="largest"/>
            <wp:docPr id="1" name="Объект1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Таблица распределения </w:t>
      </w:r>
      <w:r>
        <w:rPr/>
        <w:t>лемм в совокупном ядре по окончаниям с примерами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10260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309"/>
        <w:gridCol w:w="1408"/>
        <w:gridCol w:w="7543"/>
      </w:tblGrid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Окончания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%Покрытия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Самые яркие примеры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a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65,1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deva, , artha, dharma, putra, , loka, rasa, indra, kāla, rūpa, bala, ratha, phala, guṇa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ā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8,43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tā, prajā, kriyā, kanyā, vidyā, devatā, bhāryā, māyā, ākhyā, saṁjñā, prabhā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i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6,64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ādi, agni, tri, ṛṣi, muni, dvi, pati, buddhi, vidhi, bhūmi, hari, śakti, gati, siddhi, vahni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ī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5,09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śrī, strī, devī, pṛthivī, nadī, mahī, patnī, nārī, dhī, kuntī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n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4,49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rājan, ātman, karman, brahman, paсcan, saptan, mahātman, daśan, nāman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u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3,13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bahu, guru, viṣṇu, bāhu, vāyu, hetu, madhu, kuru, paśu, mṛtyu, śatru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s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2,36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manas, tapas, namas, tejas, śiras, vacas, āyus, dhanus, cakṣus, tamas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t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1,84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mahat, bhagavant, bhavat, bhagavat, jagant, sat, kṛt, dhīmat, marut, śrīmat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ṛ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0,73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pitṛ, mātṛ, bhrātṛ, bhartṛ, nṛ, duhitṛ, savitṛ, hotṛ, kartṛ, kartṛ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d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0,47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vid, hṛd, suhṛd, mṛd, nud, āpad, saṁvid, śarad, sampad, mud, pad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j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0,36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bhiṣaj, ruj, vaṇij, bhāj, asṛj, ṛtvij, sraj, bhuj, ūrj, rāj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c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0,26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vāc, tvac, prāсc, ṛc, tiryaсc, udaсc, pratyaсc, arvāсc, parāсc, śuc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ū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0,21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bhū, vadhū, tanū, kaṇḍū, camū, bhrū, śvaśrū, varṣābhū, nimbū, sarayū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ṣ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0,18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ṣaṣ, viṣ, iṣ, tṛṣ, dviṣ, prāvṛṣ, ruṣ, vidviṣ, juṣ, dviṣ, pṛkṣ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ś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0,16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diś, viś, dṛś, niś, tādṛś, pradiś, īdṛś, saṁdṛś, puroḍāś, divispṛś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dh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0,13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yudh, kṣudh, samidh, vīrudh, ṛtāvṛdh, krudh, mṛdh, sridh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r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0,13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catur, ahar, gir, dvār, pur, dhur, vār, āśir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h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0,11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mah, upānah, anaḍuh, snuh, druh, adruh, puruspṛh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bh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0,05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triṣṭubh, anuṣṭubh, śubh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m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0,03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śam, kṣam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v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0,03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div, pradiv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au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0,02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nau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ai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0,02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rai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o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0,02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go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k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0,02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dhṛk</w:t>
            </w:r>
          </w:p>
        </w:tc>
      </w:tr>
      <w:tr>
        <w:trPr>
          <w:trHeight w:val="256" w:hRule="atLeast"/>
        </w:trPr>
        <w:tc>
          <w:tcPr>
            <w:tcW w:w="130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p</w:t>
            </w:r>
          </w:p>
        </w:tc>
        <w:tc>
          <w:tcPr>
            <w:tcW w:w="1408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0,02</w:t>
            </w:r>
          </w:p>
        </w:tc>
        <w:tc>
          <w:tcPr>
            <w:tcW w:w="7543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>ap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%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1"/>
            <c:spPr>
              <a:solidFill>
                <a:srgbClr val="ff420e"/>
              </a:solidFill>
              <a:ln w="0">
                <a:noFill/>
              </a:ln>
            </c:spPr>
          </c:dPt>
          <c:dPt>
            <c:idx val="2"/>
            <c:spPr>
              <a:solidFill>
                <a:srgbClr val="ffd320"/>
              </a:solidFill>
              <a:ln w="0">
                <a:noFill/>
              </a:ln>
            </c:spPr>
          </c:dPt>
          <c:dPt>
            <c:idx val="3"/>
            <c:spPr>
              <a:solidFill>
                <a:srgbClr val="579d1c"/>
              </a:solidFill>
              <a:ln w="0">
                <a:noFill/>
              </a:ln>
            </c:spPr>
          </c:dPt>
          <c:dPt>
            <c:idx val="4"/>
            <c:spPr>
              <a:solidFill>
                <a:srgbClr val="7e0021"/>
              </a:solidFill>
              <a:ln w="0">
                <a:noFill/>
              </a:ln>
            </c:spPr>
          </c:dPt>
          <c:dPt>
            <c:idx val="5"/>
            <c:spPr>
              <a:solidFill>
                <a:srgbClr val="83caff"/>
              </a:solidFill>
              <a:ln w="0">
                <a:noFill/>
              </a:ln>
            </c:spPr>
          </c:dPt>
          <c:dPt>
            <c:idx val="6"/>
            <c:spPr>
              <a:solidFill>
                <a:srgbClr val="314004"/>
              </a:solidFill>
              <a:ln w="0">
                <a:noFill/>
              </a:ln>
            </c:spPr>
          </c:dPt>
          <c:dPt>
            <c:idx val="7"/>
            <c:spPr>
              <a:solidFill>
                <a:srgbClr val="aecf00"/>
              </a:solidFill>
              <a:ln w="0">
                <a:noFill/>
              </a:ln>
            </c:spPr>
          </c:dPt>
          <c:dPt>
            <c:idx val="8"/>
            <c:spPr>
              <a:solidFill>
                <a:srgbClr val="4b1f6f"/>
              </a:solidFill>
              <a:ln w="0">
                <a:noFill/>
              </a:ln>
            </c:spPr>
          </c:dPt>
          <c:dPt>
            <c:idx val="9"/>
            <c:spPr>
              <a:solidFill>
                <a:srgbClr val="ff950e"/>
              </a:solidFill>
              <a:ln w="0">
                <a:noFill/>
              </a:ln>
            </c:spPr>
          </c:dPt>
          <c:dPt>
            <c:idx val="10"/>
            <c:spPr>
              <a:solidFill>
                <a:srgbClr val="c5000b"/>
              </a:solidFill>
              <a:ln w="0">
                <a:noFill/>
              </a:ln>
            </c:spPr>
          </c:dPt>
          <c:dPt>
            <c:idx val="11"/>
            <c:spPr>
              <a:solidFill>
                <a:srgbClr val="0084d1"/>
              </a:solidFill>
              <a:ln w="0">
                <a:noFill/>
              </a:ln>
            </c:spPr>
          </c:dPt>
          <c:dPt>
            <c:idx val="12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13"/>
            <c:spPr>
              <a:solidFill>
                <a:srgbClr val="ff420e"/>
              </a:solidFill>
              <a:ln w="0">
                <a:noFill/>
              </a:ln>
            </c:spPr>
          </c:dPt>
          <c:dPt>
            <c:idx val="14"/>
            <c:spPr>
              <a:solidFill>
                <a:srgbClr val="ffd320"/>
              </a:solidFill>
              <a:ln w="0">
                <a:noFill/>
              </a:ln>
            </c:spPr>
          </c:dPt>
          <c:dPt>
            <c:idx val="15"/>
            <c:spPr>
              <a:solidFill>
                <a:srgbClr val="579d1c"/>
              </a:solidFill>
              <a:ln w="0">
                <a:noFill/>
              </a:ln>
            </c:spPr>
          </c:dPt>
          <c:dPt>
            <c:idx val="16"/>
            <c:spPr>
              <a:solidFill>
                <a:srgbClr val="7e0021"/>
              </a:solidFill>
              <a:ln w="0">
                <a:noFill/>
              </a:ln>
            </c:spPr>
          </c:dPt>
          <c:dPt>
            <c:idx val="17"/>
            <c:spPr>
              <a:solidFill>
                <a:srgbClr val="83caff"/>
              </a:solidFill>
              <a:ln w="0">
                <a:noFill/>
              </a:ln>
            </c:spPr>
          </c:dPt>
          <c:dPt>
            <c:idx val="18"/>
            <c:spPr>
              <a:solidFill>
                <a:srgbClr val="314004"/>
              </a:solidFill>
              <a:ln w="0">
                <a:noFill/>
              </a:ln>
            </c:spPr>
          </c:dPt>
          <c:dPt>
            <c:idx val="19"/>
            <c:spPr>
              <a:solidFill>
                <a:srgbClr val="aecf00"/>
              </a:solidFill>
              <a:ln w="0">
                <a:noFill/>
              </a:ln>
            </c:spPr>
          </c:dPt>
          <c:dPt>
            <c:idx val="20"/>
            <c:spPr>
              <a:solidFill>
                <a:srgbClr val="4b1f6f"/>
              </a:solidFill>
              <a:ln w="0">
                <a:noFill/>
              </a:ln>
            </c:spPr>
          </c:dPt>
          <c:dPt>
            <c:idx val="21"/>
            <c:spPr>
              <a:solidFill>
                <a:srgbClr val="ff950e"/>
              </a:solidFill>
              <a:ln w="0">
                <a:noFill/>
              </a:ln>
            </c:spPr>
          </c:dPt>
          <c:dPt>
            <c:idx val="22"/>
            <c:spPr>
              <a:solidFill>
                <a:srgbClr val="c5000b"/>
              </a:solidFill>
              <a:ln w="0">
                <a:noFill/>
              </a:ln>
            </c:spPr>
          </c:dPt>
          <c:dPt>
            <c:idx val="23"/>
            <c:spPr>
              <a:solidFill>
                <a:srgbClr val="0084d1"/>
              </a:solidFill>
              <a:ln w="0">
                <a:noFill/>
              </a:ln>
            </c:spPr>
          </c:dPt>
          <c:dPt>
            <c:idx val="24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25"/>
            <c:spPr>
              <a:solidFill>
                <a:srgbClr val="ff420e"/>
              </a:solidFill>
              <a:ln w="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3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4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5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6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7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8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9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0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1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2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3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4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5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6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7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8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9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0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1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2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3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4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5"/>
              <c:txPr>
                <a:bodyPr wrap="none"/>
                <a:lstStyle/>
                <a:p>
                  <a:pPr>
                    <a:defRPr b="0" sz="1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bestFit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</c:dLbls>
          <c:cat>
            <c:strRef>
              <c:f>categories</c:f>
              <c:strCache>
                <c:ptCount val="26"/>
                <c:pt idx="0">
                  <c:v>a</c:v>
                </c:pt>
                <c:pt idx="1">
                  <c:v>ā</c:v>
                </c:pt>
                <c:pt idx="2">
                  <c:v>i</c:v>
                </c:pt>
                <c:pt idx="3">
                  <c:v>ī</c:v>
                </c:pt>
                <c:pt idx="4">
                  <c:v>n</c:v>
                </c:pt>
                <c:pt idx="5">
                  <c:v>u</c:v>
                </c:pt>
                <c:pt idx="6">
                  <c:v>s</c:v>
                </c:pt>
                <c:pt idx="7">
                  <c:v>t</c:v>
                </c:pt>
                <c:pt idx="8">
                  <c:v>ṛ</c:v>
                </c:pt>
                <c:pt idx="9">
                  <c:v>d</c:v>
                </c:pt>
                <c:pt idx="10">
                  <c:v>j</c:v>
                </c:pt>
                <c:pt idx="11">
                  <c:v>c</c:v>
                </c:pt>
                <c:pt idx="12">
                  <c:v>ū</c:v>
                </c:pt>
                <c:pt idx="13">
                  <c:v>ṣ</c:v>
                </c:pt>
                <c:pt idx="14">
                  <c:v>ś</c:v>
                </c:pt>
                <c:pt idx="15">
                  <c:v>dh</c:v>
                </c:pt>
                <c:pt idx="16">
                  <c:v>r</c:v>
                </c:pt>
                <c:pt idx="17">
                  <c:v>h</c:v>
                </c:pt>
                <c:pt idx="18">
                  <c:v>bh</c:v>
                </c:pt>
                <c:pt idx="19">
                  <c:v>m</c:v>
                </c:pt>
                <c:pt idx="20">
                  <c:v>v</c:v>
                </c:pt>
                <c:pt idx="21">
                  <c:v>au</c:v>
                </c:pt>
                <c:pt idx="22">
                  <c:v>ai</c:v>
                </c:pt>
                <c:pt idx="23">
                  <c:v>o</c:v>
                </c:pt>
                <c:pt idx="24">
                  <c:v>k</c:v>
                </c:pt>
                <c:pt idx="25">
                  <c:v>p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26"/>
                <c:pt idx="0">
                  <c:v>65.1</c:v>
                </c:pt>
                <c:pt idx="1">
                  <c:v>8.43</c:v>
                </c:pt>
                <c:pt idx="2">
                  <c:v>6.64</c:v>
                </c:pt>
                <c:pt idx="3">
                  <c:v>5.09</c:v>
                </c:pt>
                <c:pt idx="4">
                  <c:v>4.49</c:v>
                </c:pt>
                <c:pt idx="5">
                  <c:v>3.13</c:v>
                </c:pt>
                <c:pt idx="6">
                  <c:v>2.36</c:v>
                </c:pt>
                <c:pt idx="7">
                  <c:v>1.84</c:v>
                </c:pt>
                <c:pt idx="8">
                  <c:v>0.73</c:v>
                </c:pt>
                <c:pt idx="9">
                  <c:v>0.47</c:v>
                </c:pt>
                <c:pt idx="10">
                  <c:v>0.36</c:v>
                </c:pt>
                <c:pt idx="11">
                  <c:v>0.26</c:v>
                </c:pt>
                <c:pt idx="12">
                  <c:v>0.21</c:v>
                </c:pt>
                <c:pt idx="13">
                  <c:v>0.18</c:v>
                </c:pt>
                <c:pt idx="14">
                  <c:v>0.16</c:v>
                </c:pt>
                <c:pt idx="15">
                  <c:v>0.13</c:v>
                </c:pt>
                <c:pt idx="16">
                  <c:v>0.13</c:v>
                </c:pt>
                <c:pt idx="17">
                  <c:v>0.11</c:v>
                </c:pt>
                <c:pt idx="18">
                  <c:v>0.05</c:v>
                </c:pt>
                <c:pt idx="19">
                  <c:v>0.03</c:v>
                </c:pt>
                <c:pt idx="20">
                  <c:v>0.03</c:v>
                </c:pt>
                <c:pt idx="21">
                  <c:v>0.02</c:v>
                </c:pt>
                <c:pt idx="22">
                  <c:v>0.02</c:v>
                </c:pt>
                <c:pt idx="23">
                  <c:v>0.02</c:v>
                </c:pt>
                <c:pt idx="24">
                  <c:v>0.02</c:v>
                </c:pt>
                <c:pt idx="25">
                  <c:v>0.02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  <a:ea typeface="DejaVu Sans"/>
            </a:defRPr>
          </a:pPr>
        </a:p>
      </c:txPr>
    </c:legend>
    <c:plotVisOnly val="1"/>
    <c:dispBlanksAs val="zero"/>
  </c:chart>
  <c:spPr>
    <a:solidFill>
      <a:srgbClr val="1c1c1c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LibreOffice/25.2.5.2$Windows_X86_64 LibreOffice_project/03d19516eb2e1dd5d4ccd751a0d6f35f35e08022</Application>
  <AppVersion>15.0000</AppVersion>
  <Pages>2</Pages>
  <Words>383</Words>
  <Characters>2073</Characters>
  <CharactersWithSpaces>2376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2025-08-14T15:30:01Z</dcterms:created>
  <dc:creator/>
  <dc:description/>
  <dc:language>ru-RU</dc:language>
  <cp:lastModifiedBy/>
  <dcterms:modified xsi:type="dcterms:W3CDTF">2025-08-14T18:49:34Z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