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color w:val="000000"/>
          <w:sz w:val="44"/>
        </w:rPr>
        <w:t>Bitcoin Market Analysis: Strategic Reserve Revolution and Institutional Dynamics (June 2025)</w:t>
      </w:r>
    </w:p>
    <w:p>
      <w:pPr>
        <w:pBdr>
          <w:bottom w:val="single" w:sz="18" w:space="1" w:color="000000"/>
        </w:pBdr>
      </w:pPr>
    </w:p>
    <w:p>
      <w:pPr>
        <w:pStyle w:val="Heading1"/>
        <w:jc w:val="both"/>
      </w:pPr>
      <w:r>
        <w:rPr>
          <w:rFonts w:ascii="Times New Roman" w:hAnsi="Times New Roman"/>
          <w:b w:val="0"/>
          <w:color w:val="000000"/>
          <w:sz w:val="36"/>
        </w:rPr>
        <w:t>Executive Summary</w:t>
      </w:r>
    </w:p>
    <w:p>
      <w:pPr>
        <w:jc w:val="right"/>
      </w:pPr>
      <w:r>
        <w:rPr>
          <w:rFonts w:ascii="Times New Roman" w:hAnsi="Times New Roman"/>
          <w:color w:val="000000"/>
          <w:sz w:val="20"/>
        </w:rPr>
        <w:t>(</w:t>
      </w:r>
      <w:r>
        <w:rPr>
          <w:rFonts w:ascii="Times New Roman" w:hAnsi="Times New Roman"/>
          <w:color w:val="000000"/>
          <w:sz w:val="20"/>
        </w:rPr>
        <w:t>June 2, 2025</w:t>
      </w:r>
      <w:r>
        <w:rPr>
          <w:rFonts w:ascii="Times New Roman" w:hAnsi="Times New Roman"/>
          <w:color w:val="000000"/>
          <w:sz w:val="20"/>
        </w:rPr>
        <w:t xml:space="preserve">, </w:t>
      </w:r>
      <w:hyperlink r:id="rId9">
        <w:r>
          <w:rPr>
            <w:rFonts w:ascii="Times New Roman"/>
            <w:sz w:val="20"/>
            <w:color w:val="000000"/>
            <w:u w:val="single"/>
          </w:rPr>
          <w:t>financemagnates.com</w:t>
        </w:r>
      </w:hyperlink>
      <w:r>
        <w:rPr>
          <w:rFonts w:ascii="Times New Roman" w:hAnsi="Times New Roman"/>
          <w:color w:val="000000"/>
          <w:sz w:val="20"/>
        </w:rPr>
        <w:t>)</w:t>
      </w:r>
    </w:p>
    <w:p>
      <w:pPr>
        <w:jc w:val="both"/>
      </w:pPr>
      <w:r>
        <w:rPr>
          <w:rFonts w:ascii="Times New Roman" w:hAnsi="Times New Roman"/>
          <w:color w:val="000000"/>
          <w:sz w:val="24"/>
        </w:rPr>
        <w:t>Bitcoin trades at approximately $104,823 as of June 2025, positioned at a critical inflection point where revolutionary policy developments provide structural tailwinds against significant short-term volatility risks. The establishment of the U.S. Strategic Bitcoin Reserve through executive order represents an unprecedented government legitimization of Bitcoin as a reserve asset, while institutional ETF adoption shows mixed signals with retail investors dominating flows. Network security remains robust with hash rate reaching all-time highs, though mining economics have deteriorated post-halving. Federal Reserve policy maintenance of 4.25%-4.50% interest rates creates ongoing pressure on risk assets, while technical analysis suggests potential downside to $97,000 despite long-term bullish projections of $150,000-$200,000 by year-end.</w:t>
      </w:r>
    </w:p>
    <w:p>
      <w:pPr>
        <w:pStyle w:val="Heading1"/>
        <w:jc w:val="both"/>
      </w:pPr>
      <w:r>
        <w:rPr>
          <w:rFonts w:ascii="Times New Roman" w:hAnsi="Times New Roman"/>
          <w:b w:val="0"/>
          <w:color w:val="000000"/>
          <w:sz w:val="36"/>
        </w:rPr>
        <w:t>Strategic Bitcoin Reserve: Government Legitimization with Political Risks</w:t>
      </w:r>
    </w:p>
    <w:p>
      <w:pPr>
        <w:jc w:val="right"/>
      </w:pPr>
      <w:r>
        <w:rPr>
          <w:rFonts w:ascii="Times New Roman" w:hAnsi="Times New Roman"/>
          <w:color w:val="000000"/>
          <w:sz w:val="20"/>
        </w:rPr>
        <w:t>(</w:t>
      </w:r>
      <w:r>
        <w:rPr>
          <w:rFonts w:ascii="Times New Roman" w:hAnsi="Times New Roman"/>
          <w:color w:val="000000"/>
          <w:sz w:val="20"/>
        </w:rPr>
        <w:t>March 6, 2025</w:t>
      </w:r>
      <w:r>
        <w:rPr>
          <w:rFonts w:ascii="Times New Roman" w:hAnsi="Times New Roman"/>
          <w:color w:val="000000"/>
          <w:sz w:val="20"/>
        </w:rPr>
        <w:t xml:space="preserve">, </w:t>
      </w:r>
      <w:hyperlink r:id="rId10">
        <w:r>
          <w:rPr>
            <w:rFonts w:ascii="Times New Roman"/>
            <w:sz w:val="20"/>
            <w:color w:val="000000"/>
            <w:u w:val="single"/>
          </w:rPr>
          <w:t>whitehouse.gov</w:t>
        </w:r>
      </w:hyperlink>
      <w:r>
        <w:rPr>
          <w:rFonts w:ascii="Times New Roman" w:hAnsi="Times New Roman"/>
          <w:color w:val="000000"/>
          <w:sz w:val="20"/>
        </w:rPr>
        <w:t>)</w:t>
      </w:r>
    </w:p>
    <w:p>
      <w:pPr>
        <w:jc w:val="both"/>
      </w:pPr>
      <w:r>
        <w:rPr>
          <w:rFonts w:ascii="Times New Roman" w:hAnsi="Times New Roman"/>
          <w:color w:val="000000"/>
          <w:sz w:val="24"/>
        </w:rPr>
        <w:t>President Trump's March 2025 executive order establishing the Strategic Bitcoin Reserve marks the first formal recognition of Bitcoin as a U.S. government reserve asset. The initiative capitalizes the reserve with approximately 200,000 BTC obtained through criminal and civil asset forfeiture, valued at roughly $21 billion. Senator Cynthia Lummis and Congressman Nick Begich subsequently introduced the BITCOIN Act to codify this policy into law, proposing acquisition of one million Bitcoin over five years. At the state level, New Hampshire became the first state to pass Strategic Bitcoin Reserve legislation in May 2025, followed by Arizona, though several states including Florida, Wyoming, and Pennsylvania failed to advance similar bills.</w:t>
      </w:r>
    </w:p>
    <w:p>
      <w:pPr>
        <w:jc w:val="right"/>
      </w:pPr>
      <w:r>
        <w:rPr>
          <w:rFonts w:ascii="Times New Roman" w:hAnsi="Times New Roman"/>
          <w:color w:val="000000"/>
          <w:sz w:val="20"/>
        </w:rPr>
        <w:t>(</w:t>
      </w:r>
      <w:r>
        <w:rPr>
          <w:rFonts w:ascii="Times New Roman" w:hAnsi="Times New Roman"/>
          <w:color w:val="000000"/>
          <w:sz w:val="20"/>
        </w:rPr>
        <w:t>March 11, 2025</w:t>
      </w:r>
      <w:r>
        <w:rPr>
          <w:rFonts w:ascii="Times New Roman" w:hAnsi="Times New Roman"/>
          <w:color w:val="000000"/>
          <w:sz w:val="20"/>
        </w:rPr>
        <w:t xml:space="preserve">, </w:t>
      </w:r>
      <w:hyperlink r:id="rId11">
        <w:r>
          <w:rPr>
            <w:rFonts w:ascii="Times New Roman"/>
            <w:sz w:val="20"/>
            <w:color w:val="000000"/>
            <w:u w:val="single"/>
          </w:rPr>
          <w:t>begich.house.gov</w:t>
        </w:r>
      </w:hyperlink>
      <w:r>
        <w:rPr>
          <w:rFonts w:ascii="Times New Roman" w:hAnsi="Times New Roman"/>
          <w:color w:val="000000"/>
          <w:sz w:val="20"/>
        </w:rPr>
        <w:t>)</w:t>
      </w:r>
    </w:p>
    <w:p>
      <w:pPr>
        <w:jc w:val="both"/>
      </w:pPr>
      <w:r>
        <w:rPr>
          <w:rFonts w:ascii="Times New Roman" w:hAnsi="Times New Roman"/>
          <w:color w:val="000000"/>
          <w:sz w:val="24"/>
        </w:rPr>
        <w:t>Critical Assessment: While this development represents unprecedented institutional validation, significant risks remain. The University of Chicago's February 2025 survey found zero economists agreed that borrowing to create a strategic crypto reserve would benefit the U.S. economy. The executive order approach bypasses congressional debate and could be reversed by future administrations. The mixed success at state levels—with multiple failures despite federal endorsement—indicates substantial political resistance. However, the policy creates potential for international competition in Bitcoin accumulation, as other nations consider similar reserves to maintain monetary sovereignty in an increasingly digital financial system.</w:t>
      </w:r>
    </w:p>
    <w:p>
      <w:pPr>
        <w:pStyle w:val="Heading1"/>
        <w:jc w:val="both"/>
      </w:pPr>
      <w:r>
        <w:rPr>
          <w:rFonts w:ascii="Times New Roman" w:hAnsi="Times New Roman"/>
          <w:b w:val="0"/>
          <w:color w:val="000000"/>
          <w:sz w:val="36"/>
        </w:rPr>
        <w:t>Institutional ETF Adoption: Mixed Signals Amid Retail Dominance</w:t>
      </w:r>
    </w:p>
    <w:p>
      <w:pPr>
        <w:jc w:val="right"/>
      </w:pPr>
      <w:r>
        <w:rPr>
          <w:rFonts w:ascii="Times New Roman" w:hAnsi="Times New Roman"/>
          <w:color w:val="000000"/>
          <w:sz w:val="20"/>
        </w:rPr>
        <w:t>(</w:t>
      </w:r>
      <w:r>
        <w:rPr>
          <w:rFonts w:ascii="Times New Roman" w:hAnsi="Times New Roman"/>
          <w:color w:val="000000"/>
          <w:sz w:val="20"/>
        </w:rPr>
        <w:t>May 15, 2025</w:t>
      </w:r>
      <w:r>
        <w:rPr>
          <w:rFonts w:ascii="Times New Roman" w:hAnsi="Times New Roman"/>
          <w:color w:val="000000"/>
          <w:sz w:val="20"/>
        </w:rPr>
        <w:t xml:space="preserve">, </w:t>
      </w:r>
      <w:hyperlink r:id="rId12">
        <w:r>
          <w:rPr>
            <w:rFonts w:ascii="Times New Roman"/>
            <w:sz w:val="20"/>
            <w:color w:val="000000"/>
            <w:u w:val="single"/>
          </w:rPr>
          <w:t>reuters.com</w:t>
        </w:r>
      </w:hyperlink>
      <w:r>
        <w:rPr>
          <w:rFonts w:ascii="Times New Roman" w:hAnsi="Times New Roman"/>
          <w:color w:val="000000"/>
          <w:sz w:val="20"/>
        </w:rPr>
        <w:t>)</w:t>
      </w:r>
    </w:p>
    <w:p>
      <w:pPr>
        <w:jc w:val="both"/>
      </w:pPr>
      <w:r>
        <w:rPr>
          <w:rFonts w:ascii="Times New Roman" w:hAnsi="Times New Roman"/>
          <w:color w:val="000000"/>
          <w:sz w:val="24"/>
        </w:rPr>
        <w:t>Institutional Bitcoin ETF exposure declined 23% in Q1 2025, dropping from $27.4 billion to $21.2 billion, primarily due to price depreciation rather than wholesale selling. Notable institutional moves included the State of Wisconsin Investment Board's complete exit from its six million share position in BlackRock's iShares Bitcoin Trust, while Abu Dhabi's Mubadala sovereign wealth fund increased holdings to $408.5 million. Despite these mixed institutional signals, BlackRock's IBIT has accumulated over $51 billion in assets, though approximately 80% of ETF flows originate from retail investors rather than institutional sources. Financial advisers bucked the broader trend by slightly increasing Bitcoin allocations during Q1, suggesting differentiated approaches within professional money management segments.</w:t>
      </w:r>
    </w:p>
    <w:p>
      <w:pPr>
        <w:jc w:val="right"/>
      </w:pPr>
      <w:r>
        <w:rPr>
          <w:rFonts w:ascii="Times New Roman" w:hAnsi="Times New Roman"/>
          <w:color w:val="000000"/>
          <w:sz w:val="20"/>
        </w:rPr>
        <w:t>(</w:t>
      </w:r>
      <w:r>
        <w:rPr>
          <w:rFonts w:ascii="Times New Roman" w:hAnsi="Times New Roman"/>
          <w:color w:val="000000"/>
          <w:sz w:val="20"/>
        </w:rPr>
        <w:t>May 6, 2025</w:t>
      </w:r>
      <w:r>
        <w:rPr>
          <w:rFonts w:ascii="Times New Roman" w:hAnsi="Times New Roman"/>
          <w:color w:val="000000"/>
          <w:sz w:val="20"/>
        </w:rPr>
        <w:t xml:space="preserve">, </w:t>
      </w:r>
      <w:hyperlink r:id="rId13">
        <w:r>
          <w:rPr>
            <w:rFonts w:ascii="Times New Roman"/>
            <w:sz w:val="20"/>
            <w:color w:val="000000"/>
            <w:u w:val="single"/>
          </w:rPr>
          <w:t>99bitcoins.com</w:t>
        </w:r>
      </w:hyperlink>
      <w:r>
        <w:rPr>
          <w:rFonts w:ascii="Times New Roman" w:hAnsi="Times New Roman"/>
          <w:color w:val="000000"/>
          <w:sz w:val="20"/>
        </w:rPr>
        <w:t>)</w:t>
      </w:r>
    </w:p>
    <w:p>
      <w:pPr>
        <w:jc w:val="both"/>
      </w:pPr>
      <w:r>
        <w:rPr>
          <w:rFonts w:ascii="Times New Roman" w:hAnsi="Times New Roman"/>
          <w:color w:val="000000"/>
          <w:sz w:val="24"/>
        </w:rPr>
        <w:t>Market Implications: The retail-heavy composition of ETF flows creates increased volatility risk, as individual investors typically demonstrate less price stability than institutional holders. Bernstein analysts project spot Bitcoin ETFs will represent approximately 7% of Bitcoin in circulation by 2025 and 15% by 2033, suggesting continued growth despite current institutional hesitancy. BlackRock's positioning of Bitcoin as a "strategic asset" represents a significant philosophical shift from traditional asset management, though the 23% institutional exposure decline indicates profit-taking and risk management rather than conviction accumulation. The divergent behavior between financial advisers and larger institutions suggests a bifurcated adoption pattern where smaller, more agile managers embrace Bitcoin while larger institutions remain cautious pending regulatory clarity.</w:t>
      </w:r>
    </w:p>
    <w:p>
      <w:pPr>
        <w:pStyle w:val="Heading1"/>
        <w:jc w:val="both"/>
      </w:pPr>
      <w:r>
        <w:rPr>
          <w:rFonts w:ascii="Times New Roman" w:hAnsi="Times New Roman"/>
          <w:b w:val="0"/>
          <w:color w:val="000000"/>
          <w:sz w:val="36"/>
        </w:rPr>
        <w:t>Network Security and Mining Economics: Robust Security Amid Profitability Pressures</w:t>
      </w:r>
    </w:p>
    <w:p>
      <w:pPr>
        <w:jc w:val="right"/>
      </w:pPr>
      <w:r>
        <w:rPr>
          <w:rFonts w:ascii="Times New Roman" w:hAnsi="Times New Roman"/>
          <w:color w:val="000000"/>
          <w:sz w:val="20"/>
        </w:rPr>
        <w:t>(</w:t>
      </w:r>
      <w:r>
        <w:rPr>
          <w:rFonts w:ascii="Times New Roman" w:hAnsi="Times New Roman"/>
          <w:color w:val="000000"/>
          <w:sz w:val="20"/>
        </w:rPr>
        <w:t>January 3, 2025</w:t>
      </w:r>
      <w:r>
        <w:rPr>
          <w:rFonts w:ascii="Times New Roman" w:hAnsi="Times New Roman"/>
          <w:color w:val="000000"/>
          <w:sz w:val="20"/>
        </w:rPr>
        <w:t xml:space="preserve">, </w:t>
      </w:r>
      <w:hyperlink r:id="rId14">
        <w:r>
          <w:rPr>
            <w:rFonts w:ascii="Times New Roman"/>
            <w:sz w:val="20"/>
            <w:color w:val="000000"/>
            <w:u w:val="single"/>
          </w:rPr>
          <w:t>coindesk.com</w:t>
        </w:r>
      </w:hyperlink>
      <w:r>
        <w:rPr>
          <w:rFonts w:ascii="Times New Roman" w:hAnsi="Times New Roman"/>
          <w:color w:val="000000"/>
          <w:sz w:val="20"/>
        </w:rPr>
        <w:t>)</w:t>
      </w:r>
    </w:p>
    <w:p>
      <w:pPr>
        <w:jc w:val="both"/>
      </w:pPr>
      <w:r>
        <w:rPr>
          <w:rFonts w:ascii="Times New Roman" w:hAnsi="Times New Roman"/>
          <w:color w:val="000000"/>
          <w:sz w:val="24"/>
        </w:rPr>
        <w:t>Bitcoin's network security reached unprecedented levels with hash rate appreciating 56% over the past year to approximately 787 EH/s, with peaks touching 921 EH/s in early 2025. This represents a 77% increase from 2024 lows, demonstrating continued miner investment despite economic headwinds. However, mining profitability has deteriorated significantly post-halving, with hashprice declining from $0.12 in April 2024 to approximately $0.049 by April 2025. Network difficulty surged to an all-time high of 123 trillion, forcing miners to optimize operations and seek lower-cost power sources. Major operations like MARA expanded capacity by 5.5% to 57.3 EH/s in April 2025, indicating institutional miners are positioning for long-term market capture despite near-term margin compression.</w:t>
      </w:r>
    </w:p>
    <w:p>
      <w:pPr>
        <w:jc w:val="right"/>
      </w:pPr>
      <w:r>
        <w:rPr>
          <w:rFonts w:ascii="Times New Roman" w:hAnsi="Times New Roman"/>
          <w:color w:val="000000"/>
          <w:sz w:val="20"/>
        </w:rPr>
        <w:t>(</w:t>
      </w:r>
      <w:r>
        <w:rPr>
          <w:rFonts w:ascii="Times New Roman" w:hAnsi="Times New Roman"/>
          <w:color w:val="000000"/>
          <w:sz w:val="20"/>
        </w:rPr>
        <w:t>May 5, 2025</w:t>
      </w:r>
      <w:r>
        <w:rPr>
          <w:rFonts w:ascii="Times New Roman" w:hAnsi="Times New Roman"/>
          <w:color w:val="000000"/>
          <w:sz w:val="20"/>
        </w:rPr>
        <w:t xml:space="preserve">, </w:t>
      </w:r>
      <w:hyperlink r:id="rId15">
        <w:r>
          <w:rPr>
            <w:rFonts w:ascii="Times New Roman"/>
            <w:sz w:val="20"/>
            <w:color w:val="000000"/>
            <w:u w:val="single"/>
          </w:rPr>
          <w:t>mara.com</w:t>
        </w:r>
      </w:hyperlink>
      <w:r>
        <w:rPr>
          <w:rFonts w:ascii="Times New Roman" w:hAnsi="Times New Roman"/>
          <w:color w:val="000000"/>
          <w:sz w:val="20"/>
        </w:rPr>
        <w:t>)</w:t>
      </w:r>
    </w:p>
    <w:p>
      <w:pPr>
        <w:jc w:val="both"/>
      </w:pPr>
      <w:r>
        <w:rPr>
          <w:rFonts w:ascii="Times New Roman" w:hAnsi="Times New Roman"/>
          <w:color w:val="000000"/>
          <w:sz w:val="24"/>
        </w:rPr>
        <w:t>Strategic Assessment: The continued hash rate growth amid reduced mining economics indicates a healthy competitive dynamic where efficient operations survive while marginal miners exit. With approximately 93.3% of Bitcoin's 21 million supply already mined, the scarcity timeline accelerates pressure on acquisition strategies. The mining industry's geographic diversification, including expansion into regions like Oman and UAE with electricity costs of $0.035-$0.045 per kWh, demonstrates adaptive resilience. However, the 50% reduction in block rewards post-halving creates ongoing consolidation pressure, potentially concentrating mining power among well-capitalized operations. This trend supports network security through professional management while raising questions about decentralization as smaller miners face economic elimination.</w:t>
      </w:r>
    </w:p>
    <w:p>
      <w:pPr>
        <w:pStyle w:val="Heading1"/>
        <w:jc w:val="both"/>
      </w:pPr>
      <w:r>
        <w:rPr>
          <w:rFonts w:ascii="Times New Roman" w:hAnsi="Times New Roman"/>
          <w:b w:val="0"/>
          <w:color w:val="000000"/>
          <w:sz w:val="36"/>
        </w:rPr>
        <w:t>Monetary Policy Environment: Higher-for-Longer Rates Create Headwinds</w:t>
      </w:r>
    </w:p>
    <w:p>
      <w:pPr>
        <w:jc w:val="right"/>
      </w:pPr>
      <w:r>
        <w:rPr>
          <w:rFonts w:ascii="Times New Roman" w:hAnsi="Times New Roman"/>
          <w:color w:val="000000"/>
          <w:sz w:val="20"/>
        </w:rPr>
        <w:t>(</w:t>
      </w:r>
      <w:r>
        <w:rPr>
          <w:rFonts w:ascii="Times New Roman" w:hAnsi="Times New Roman"/>
          <w:color w:val="000000"/>
          <w:sz w:val="20"/>
        </w:rPr>
        <w:t>May 7, 2025</w:t>
      </w:r>
      <w:r>
        <w:rPr>
          <w:rFonts w:ascii="Times New Roman" w:hAnsi="Times New Roman"/>
          <w:color w:val="000000"/>
          <w:sz w:val="20"/>
        </w:rPr>
        <w:t xml:space="preserve">, </w:t>
      </w:r>
      <w:hyperlink r:id="rId16">
        <w:r>
          <w:rPr>
            <w:rFonts w:ascii="Times New Roman"/>
            <w:sz w:val="20"/>
            <w:color w:val="000000"/>
            <w:u w:val="single"/>
          </w:rPr>
          <w:t>federalreserve.gov</w:t>
        </w:r>
      </w:hyperlink>
      <w:r>
        <w:rPr>
          <w:rFonts w:ascii="Times New Roman" w:hAnsi="Times New Roman"/>
          <w:color w:val="000000"/>
          <w:sz w:val="20"/>
        </w:rPr>
        <w:t>)</w:t>
      </w:r>
    </w:p>
    <w:p>
      <w:pPr>
        <w:jc w:val="both"/>
      </w:pPr>
      <w:r>
        <w:rPr>
          <w:rFonts w:ascii="Times New Roman" w:hAnsi="Times New Roman"/>
          <w:color w:val="000000"/>
          <w:sz w:val="24"/>
        </w:rPr>
        <w:t>The Federal Reserve maintained its target range of 4.25%-4.50% for the federal funds rate in May 2025, marking the third consecutive meeting without change. Chairman Powell emphasized that economic data, not political pressure, will guide future rate decisions, while warning that sustained tariff increases could generate inflation, economic slowdown, and increased unemployment. The Fed's dot plot continues projecting the funds rate ending 2025 at 3.9%, implying roughly two rate cuts by year-end. Core PCE inflation expectations increased to 2.8% for 2025 versus previous 2.5% projections, suggesting persistent price pressures. Interest rate traders expect the first 2025 rate cut in July, with bond markets pricing approximately two 0.25% reductions through year-end.</w:t>
      </w:r>
    </w:p>
    <w:p>
      <w:pPr>
        <w:jc w:val="right"/>
      </w:pPr>
      <w:r>
        <w:rPr>
          <w:rFonts w:ascii="Times New Roman" w:hAnsi="Times New Roman"/>
          <w:color w:val="000000"/>
          <w:sz w:val="20"/>
        </w:rPr>
        <w:t>(</w:t>
      </w:r>
      <w:r>
        <w:rPr>
          <w:rFonts w:ascii="Times New Roman" w:hAnsi="Times New Roman"/>
          <w:color w:val="000000"/>
          <w:sz w:val="20"/>
        </w:rPr>
        <w:t>May 7, 2025</w:t>
      </w:r>
      <w:r>
        <w:rPr>
          <w:rFonts w:ascii="Times New Roman" w:hAnsi="Times New Roman"/>
          <w:color w:val="000000"/>
          <w:sz w:val="20"/>
        </w:rPr>
        <w:t xml:space="preserve">, </w:t>
      </w:r>
      <w:hyperlink r:id="rId17">
        <w:r>
          <w:rPr>
            <w:rFonts w:ascii="Times New Roman"/>
            <w:sz w:val="20"/>
            <w:color w:val="000000"/>
            <w:u w:val="single"/>
          </w:rPr>
          <w:t>bankrate.com</w:t>
        </w:r>
      </w:hyperlink>
      <w:r>
        <w:rPr>
          <w:rFonts w:ascii="Times New Roman" w:hAnsi="Times New Roman"/>
          <w:color w:val="000000"/>
          <w:sz w:val="20"/>
        </w:rPr>
        <w:t>)</w:t>
      </w:r>
    </w:p>
    <w:p>
      <w:pPr>
        <w:jc w:val="both"/>
      </w:pPr>
      <w:r>
        <w:rPr>
          <w:rFonts w:ascii="Times New Roman" w:hAnsi="Times New Roman"/>
          <w:color w:val="000000"/>
          <w:sz w:val="24"/>
        </w:rPr>
        <w:t>Impact Analysis: Higher-for-longer interest rates typically pressure risk assets like Bitcoin by increasing the opportunity cost of holding non-yielding assets. The current 4.25%-4.50% range represents restrictive monetary policy that particularly affects interest-sensitive consumers and leveraged operations. However, Bitcoin's correlation with traditional risk assets has weakened in 2025, suggesting potential divergence based on crypto-specific fundamentals. The uncertainty surrounding tariff policies creates additional volatility, as trade disruptions could either drive inflation (negative for Bitcoin) or economic slowdown (potentially positive for alternative stores of value). The Fed's emphasis on data-dependent policy provides potential for more accommodative stance if economic conditions deteriorate, which could benefit Bitcoin as institutional portfolio diversification accelerates.</w:t>
      </w:r>
    </w:p>
    <w:p>
      <w:pPr>
        <w:pStyle w:val="Heading1"/>
        <w:jc w:val="both"/>
      </w:pPr>
      <w:r>
        <w:rPr>
          <w:rFonts w:ascii="Times New Roman" w:hAnsi="Times New Roman"/>
          <w:b w:val="0"/>
          <w:color w:val="000000"/>
          <w:sz w:val="36"/>
        </w:rPr>
        <w:t>Market Outlook and Risk Assessment</w:t>
      </w:r>
    </w:p>
    <w:p>
      <w:pPr>
        <w:jc w:val="right"/>
      </w:pPr>
      <w:r>
        <w:rPr>
          <w:rFonts w:ascii="Times New Roman" w:hAnsi="Times New Roman"/>
          <w:color w:val="000000"/>
          <w:sz w:val="20"/>
        </w:rPr>
        <w:t>(</w:t>
      </w:r>
      <w:r>
        <w:rPr>
          <w:rFonts w:ascii="Times New Roman" w:hAnsi="Times New Roman"/>
          <w:color w:val="000000"/>
          <w:sz w:val="20"/>
        </w:rPr>
        <w:t>May 27, 2025</w:t>
      </w:r>
      <w:r>
        <w:rPr>
          <w:rFonts w:ascii="Times New Roman" w:hAnsi="Times New Roman"/>
          <w:color w:val="000000"/>
          <w:sz w:val="20"/>
        </w:rPr>
        <w:t xml:space="preserve">, </w:t>
      </w:r>
      <w:hyperlink r:id="rId18">
        <w:r>
          <w:rPr>
            <w:rFonts w:ascii="Times New Roman"/>
            <w:sz w:val="20"/>
            <w:color w:val="000000"/>
            <w:u w:val="single"/>
          </w:rPr>
          <w:t>thecryptobasic.com</w:t>
        </w:r>
      </w:hyperlink>
      <w:r>
        <w:rPr>
          <w:rFonts w:ascii="Times New Roman" w:hAnsi="Times New Roman"/>
          <w:color w:val="000000"/>
          <w:sz w:val="20"/>
        </w:rPr>
        <w:t>)</w:t>
      </w:r>
    </w:p>
    <w:p>
      <w:pPr>
        <w:jc w:val="both"/>
      </w:pPr>
      <w:r>
        <w:rPr>
          <w:rFonts w:ascii="Times New Roman" w:hAnsi="Times New Roman"/>
          <w:color w:val="000000"/>
          <w:sz w:val="24"/>
        </w:rPr>
        <w:t>Bullish Case: Standard Chartered projects Bitcoin reaching $200,000 by end-2025, driven by strategic reserve adoption and institutional ETF growth. Multiple analysts including BitMEX co-founder Arthur Hayes forecast $250,000 targets contingent on Federal Reserve policy shifts toward quantitative easing. The structural tailwinds include potential international competition for Bitcoin reserves, continued ETF expansion, and the mathematical scarcity created by post-halving supply constraints. Corporate treasury adoption by companies like MicroStrategy demonstrates institutional conviction that could catalyze broader adoption among cash-rich corporations seeking inflation hedges.</w:t>
      </w:r>
    </w:p>
    <w:p>
      <w:pPr>
        <w:jc w:val="right"/>
      </w:pPr>
      <w:r>
        <w:rPr>
          <w:rFonts w:ascii="Times New Roman" w:hAnsi="Times New Roman"/>
          <w:color w:val="000000"/>
          <w:sz w:val="20"/>
        </w:rPr>
        <w:t>(</w:t>
      </w:r>
      <w:r>
        <w:rPr>
          <w:rFonts w:ascii="Times New Roman" w:hAnsi="Times New Roman"/>
          <w:color w:val="000000"/>
          <w:sz w:val="20"/>
        </w:rPr>
        <w:t>2 weeks ago</w:t>
      </w:r>
      <w:r>
        <w:rPr>
          <w:rFonts w:ascii="Times New Roman" w:hAnsi="Times New Roman"/>
          <w:color w:val="000000"/>
          <w:sz w:val="20"/>
        </w:rPr>
        <w:t xml:space="preserve">, </w:t>
      </w:r>
      <w:hyperlink r:id="rId19">
        <w:r>
          <w:rPr>
            <w:rFonts w:ascii="Times New Roman"/>
            <w:sz w:val="20"/>
            <w:color w:val="000000"/>
            <w:u w:val="single"/>
          </w:rPr>
          <w:t>ccn.com</w:t>
        </w:r>
      </w:hyperlink>
      <w:r>
        <w:rPr>
          <w:rFonts w:ascii="Times New Roman" w:hAnsi="Times New Roman"/>
          <w:color w:val="000000"/>
          <w:sz w:val="20"/>
        </w:rPr>
        <w:t>)</w:t>
      </w:r>
    </w:p>
    <w:p>
      <w:pPr>
        <w:jc w:val="both"/>
      </w:pPr>
      <w:r>
        <w:rPr>
          <w:rFonts w:ascii="Times New Roman" w:hAnsi="Times New Roman"/>
          <w:color w:val="000000"/>
          <w:sz w:val="24"/>
        </w:rPr>
        <w:t>Bearish Risks: Technical analysis reveals bear flag patterns suggesting potential decline to $97,000, with critical support at $108,000. The 23% institutional ETF outflow in Q1 2025 indicates profit-taking behavior that could accelerate during market stress. Political risks include potential reversal of strategic reserve policies under future administrations and ongoing regulatory uncertainty. Macroeconomic headwinds encompass persistent higher interest rates, tariff-induced economic volatility, and potential recession risks that typically pressure risk assets. The concentration of mining power among large operations raises decentralization concerns, while the retail-heavy ETF composition creates volatility amplification during sentiment shifts.</w:t>
      </w:r>
    </w:p>
    <w:p>
      <w:pPr>
        <w:jc w:val="both"/>
      </w:pPr>
      <w:r>
        <w:rPr>
          <w:rFonts w:ascii="Times New Roman" w:hAnsi="Times New Roman"/>
          <w:color w:val="000000"/>
          <w:sz w:val="24"/>
        </w:rPr>
        <w:t>Strategic Conclusion: Bitcoin stands at an unprecedented inflection point where revolutionary policy legitimization through strategic reserves provides structural support against significant short-term volatility risks. The path forward depends critically on Federal Reserve policy evolution, international government adoption of Bitcoin reserves, and the sustainability of institutional demand beyond retail-driven ETF flows. Investors should prepare for continued high volatility while recognizing that the fundamental value proposition—digital scarcity in an inflationary fiat environment—remains intact and increasingly validated by government adoption. Risk management becomes essential as political developments could either accelerate Bitcoin's ascent toward $200,000 targets or trigger substantial corrections toward $97,000 support levels.</w:t>
      </w:r>
    </w:p>
    <w:sectPr w:rsidR="00FC693F" w:rsidRPr="0006063C" w:rsidSect="00034616">
      <w:footerReference w:type="default" r:id="rId2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color w:val="808080"/>
        <w:sz w:val="20"/>
      </w:rPr>
      <w:t>Bitcoin Market Analysis: Strategic Reserve Revolution and Institutional Dynamics (June 2025)     (c) Generated using MCP_DOCX</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inancemagnates.com/trending/why-is-bitcoin-going-down-elon-musk-news-didnt-help-btc-price-analysts-predict-drop-to-97k/" TargetMode="External"/><Relationship Id="rId10" Type="http://schemas.openxmlformats.org/officeDocument/2006/relationships/hyperlink" Target="https://www.whitehouse.gov/presidential-actions/2025/03/establishment-of-the-strategic-bitcoin-reserve-and-united-states-digital-asset-stockpile/" TargetMode="External"/><Relationship Id="rId11" Type="http://schemas.openxmlformats.org/officeDocument/2006/relationships/hyperlink" Target="https://begich.house.gov/media/press-releases/congressman-nick-begich-and-senator-lummis-introduce-landmark-bitcoin-act" TargetMode="External"/><Relationship Id="rId12" Type="http://schemas.openxmlformats.org/officeDocument/2006/relationships/hyperlink" Target="https://www.reuters.com/business/institutional-investors-juggle-bitcoin-etf-holdings-us-filings-show-2025-05-15/" TargetMode="External"/><Relationship Id="rId13" Type="http://schemas.openxmlformats.org/officeDocument/2006/relationships/hyperlink" Target="https://99bitcoins.com/news/adoption/too-risky-not-to-own-blackrock-backs-bitcoin-as-a-strategic-asset/" TargetMode="External"/><Relationship Id="rId14" Type="http://schemas.openxmlformats.org/officeDocument/2006/relationships/hyperlink" Target="https://www.coindesk.com/markets/2025/01/03/bitcoins-computing-power-may-hit-a-major-milestone-long-before-next-halving" TargetMode="External"/><Relationship Id="rId15" Type="http://schemas.openxmlformats.org/officeDocument/2006/relationships/hyperlink" Target="https://ir.mara.com/news-events/press-releases/detail/1394/mara-announces-bitcoin-production-and-mining-operation-updates-for-april-2025" TargetMode="External"/><Relationship Id="rId16" Type="http://schemas.openxmlformats.org/officeDocument/2006/relationships/hyperlink" Target="https://www.federalreserve.gov/newsevents/pressreleases/monetary20250507a.htm" TargetMode="External"/><Relationship Id="rId17" Type="http://schemas.openxmlformats.org/officeDocument/2006/relationships/hyperlink" Target="https://www.bankrate.com/investing/federal-reserve-impact-on-stocks-crypto-other-investments/" TargetMode="External"/><Relationship Id="rId18" Type="http://schemas.openxmlformats.org/officeDocument/2006/relationships/hyperlink" Target="https://thecryptobasic.com/2025/05/27/standard-chartered-predicts-bitcoin-price-by-the-end-of-2025/" TargetMode="External"/><Relationship Id="rId19" Type="http://schemas.openxmlformats.org/officeDocument/2006/relationships/hyperlink" Target="https://www.ccn.com/analysis/crypto/biggest-crypto-predictions-june-2025-bitcoin-ethereum-xrp/" TargetMode="External"/><Relationship Id="rId2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