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77D6A" w14:textId="6E9742E6" w:rsidR="00053900" w:rsidRDefault="00D43FCB" w:rsidP="00A907D9">
      <w:pPr>
        <w:pStyle w:val="Titolo3"/>
        <w:rPr>
          <w:lang w:val="en-US"/>
        </w:rPr>
      </w:pPr>
      <w:r w:rsidRPr="00D43FCB">
        <w:rPr>
          <w:lang w:val="en-US"/>
        </w:rPr>
        <w:t>Scope</w:t>
      </w:r>
    </w:p>
    <w:p w14:paraId="3BEE5F1A" w14:textId="77777777" w:rsidR="00CF42D7" w:rsidRPr="00CF42D7" w:rsidRDefault="00CF42D7" w:rsidP="00CF42D7">
      <w:pPr>
        <w:rPr>
          <w:lang w:val="en-US"/>
        </w:rPr>
      </w:pPr>
    </w:p>
    <w:p w14:paraId="514D9C5A" w14:textId="50D985D1" w:rsidR="00E5687E" w:rsidRDefault="00D43FCB" w:rsidP="00CF42D7">
      <w:pPr>
        <w:pStyle w:val="Nessunaspaziatura"/>
        <w:rPr>
          <w:lang w:val="en-US"/>
        </w:rPr>
      </w:pPr>
      <w:r w:rsidRPr="00D43FCB">
        <w:rPr>
          <w:shd w:val="clear" w:color="auto" w:fill="FFFFFF"/>
          <w:lang w:val="en-US"/>
        </w:rPr>
        <w:t xml:space="preserve">Specify </w:t>
      </w:r>
      <w:r>
        <w:rPr>
          <w:shd w:val="clear" w:color="auto" w:fill="FFFFFF"/>
          <w:lang w:val="en-US"/>
        </w:rPr>
        <w:t xml:space="preserve">HL7 FHIR logical models and profiles to be used within the European project </w:t>
      </w:r>
      <w:r w:rsidR="00126888">
        <w:fldChar w:fldCharType="begin"/>
      </w:r>
      <w:r w:rsidR="00126888" w:rsidRPr="00126888">
        <w:rPr>
          <w:lang w:val="en-US"/>
        </w:rPr>
        <w:instrText xml:space="preserve"> HYPERLINK "https://www.gatekeeper-project.eu/" </w:instrText>
      </w:r>
      <w:r w:rsidR="00126888">
        <w:fldChar w:fldCharType="separate"/>
      </w:r>
      <w:r w:rsidR="00BB7DDD">
        <w:rPr>
          <w:rStyle w:val="Collegamentoipertestuale"/>
          <w:rFonts w:ascii="Verdana" w:hAnsi="Verdana"/>
          <w:sz w:val="21"/>
          <w:szCs w:val="21"/>
          <w:shd w:val="clear" w:color="auto" w:fill="FFFFFF"/>
          <w:lang w:val="en-US"/>
        </w:rPr>
        <w:t>GATEKEEPER</w:t>
      </w:r>
      <w:r w:rsidR="00126888">
        <w:rPr>
          <w:rStyle w:val="Collegamentoipertestuale"/>
          <w:rFonts w:ascii="Verdana" w:hAnsi="Verdana"/>
          <w:sz w:val="21"/>
          <w:szCs w:val="21"/>
          <w:shd w:val="clear" w:color="auto" w:fill="FFFFFF"/>
          <w:lang w:val="en-US"/>
        </w:rPr>
        <w:fldChar w:fldCharType="end"/>
      </w:r>
      <w:r w:rsidR="002077FC">
        <w:rPr>
          <w:shd w:val="clear" w:color="auto" w:fill="FFFFFF"/>
          <w:lang w:val="en-US"/>
        </w:rPr>
        <w:t xml:space="preserve"> f</w:t>
      </w:r>
      <w:r w:rsidR="002077FC">
        <w:rPr>
          <w:lang w:val="en-US"/>
        </w:rPr>
        <w:t>or supporting the</w:t>
      </w:r>
      <w:r w:rsidR="0023346A">
        <w:rPr>
          <w:lang w:val="en-US"/>
        </w:rPr>
        <w:t xml:space="preserve"> </w:t>
      </w:r>
      <w:r w:rsidR="0023346A" w:rsidRPr="0023346A">
        <w:rPr>
          <w:lang w:val="en-US"/>
        </w:rPr>
        <w:t>GATEKEEPER HEALTHCARE SPACE, where intuitive and self-configuring dashboards, intelligent services for early risk detection and care plans, and a federated data infrastructure are provided to healthcare professionals.</w:t>
      </w:r>
    </w:p>
    <w:p w14:paraId="43EF7A84" w14:textId="77777777" w:rsidR="00ED3C02" w:rsidRPr="0023346A" w:rsidRDefault="00ED3C02" w:rsidP="00CF42D7">
      <w:pPr>
        <w:pStyle w:val="Nessunaspaziatura"/>
        <w:rPr>
          <w:lang w:val="en-US"/>
        </w:rPr>
      </w:pPr>
    </w:p>
    <w:p w14:paraId="6F66370B" w14:textId="28A15BDB" w:rsidR="00D43FCB" w:rsidRPr="00E5687E" w:rsidRDefault="00506005" w:rsidP="00CF42D7">
      <w:pPr>
        <w:pStyle w:val="Nessunaspaziatura"/>
        <w:rPr>
          <w:shd w:val="clear" w:color="auto" w:fill="FFFFFF"/>
          <w:lang w:val="en-US"/>
        </w:rPr>
      </w:pPr>
      <w:r>
        <w:rPr>
          <w:lang w:val="en-US"/>
        </w:rPr>
        <w:t xml:space="preserve">This guide is developed </w:t>
      </w:r>
      <w:r w:rsidR="00E5687E">
        <w:rPr>
          <w:lang w:val="en-US"/>
        </w:rPr>
        <w:t xml:space="preserve">as part of the Gatekeeper </w:t>
      </w:r>
      <w:r w:rsidR="00E5687E" w:rsidRPr="00E5687E">
        <w:rPr>
          <w:lang w:val="en-US"/>
        </w:rPr>
        <w:t>WP3 - Gatekeeper Web of Things (WOT) Reference Architecture</w:t>
      </w:r>
      <w:r w:rsidR="00E5687E">
        <w:rPr>
          <w:lang w:val="en-US"/>
        </w:rPr>
        <w:t>.</w:t>
      </w:r>
    </w:p>
    <w:p w14:paraId="11DE7F2D" w14:textId="77777777" w:rsidR="00D43FCB" w:rsidRDefault="00D43FCB" w:rsidP="00CF42D7">
      <w:pPr>
        <w:pStyle w:val="Nessunaspaziatura"/>
        <w:rPr>
          <w:shd w:val="clear" w:color="auto" w:fill="FFFFFF"/>
          <w:lang w:val="en-US"/>
        </w:rPr>
      </w:pPr>
    </w:p>
    <w:p w14:paraId="764FB930" w14:textId="42C33180" w:rsidR="000519BB" w:rsidRDefault="000519BB" w:rsidP="00A907D9">
      <w:pPr>
        <w:pStyle w:val="Titolo3"/>
        <w:rPr>
          <w:lang w:val="en-US"/>
        </w:rPr>
      </w:pPr>
      <w:r w:rsidRPr="00D43FCB">
        <w:rPr>
          <w:lang w:val="en-US"/>
        </w:rPr>
        <w:t>Introdu</w:t>
      </w:r>
      <w:r w:rsidR="00D43FCB">
        <w:rPr>
          <w:lang w:val="en-US"/>
        </w:rPr>
        <w:t>ction</w:t>
      </w:r>
    </w:p>
    <w:p w14:paraId="554ED929" w14:textId="77777777" w:rsidR="00CF42D7" w:rsidRPr="00CF42D7" w:rsidRDefault="00CF42D7" w:rsidP="00CF42D7">
      <w:pPr>
        <w:rPr>
          <w:lang w:val="en-US"/>
        </w:rPr>
      </w:pPr>
    </w:p>
    <w:p w14:paraId="59ADF6CE" w14:textId="7DBF7DE7" w:rsidR="008B0CFB" w:rsidRDefault="008B0CFB" w:rsidP="008B0CFB">
      <w:pPr>
        <w:shd w:val="clear" w:color="auto" w:fill="FFFFFF"/>
        <w:spacing w:after="158" w:line="240" w:lineRule="auto"/>
        <w:rPr>
          <w:lang w:val="en-US" w:eastAsia="it-IT"/>
        </w:rPr>
      </w:pPr>
      <w:r w:rsidRPr="00B73DD8">
        <w:rPr>
          <w:lang w:val="en-US" w:eastAsia="it-IT"/>
        </w:rPr>
        <w:t xml:space="preserve">GATEKEEPER is a European Multi Centric Large-Scale Pilot on Smart Living Environments.  The main objective is enabling the </w:t>
      </w:r>
      <w:r w:rsidRPr="00B73DD8">
        <w:rPr>
          <w:b/>
          <w:bCs/>
          <w:lang w:val="en-US" w:eastAsia="it-IT"/>
        </w:rPr>
        <w:t>creation of a platform that connects healthcare providers, businesses, entrepreneurs, and elderly citizens</w:t>
      </w:r>
      <w:r w:rsidRPr="00B73DD8">
        <w:rPr>
          <w:lang w:val="en-US" w:eastAsia="it-IT"/>
        </w:rPr>
        <w:t xml:space="preserve"> and the communities they live in, in order to originate an open, trust-based arena for matching ideas, technologies, user needs and processes, aimed at ensuring healthier independent lives for the ageing populations.</w:t>
      </w:r>
    </w:p>
    <w:p w14:paraId="364E0001" w14:textId="77777777" w:rsidR="00BD7B0F" w:rsidRPr="00B73DD8" w:rsidRDefault="00BD7B0F" w:rsidP="008B0CFB">
      <w:pPr>
        <w:shd w:val="clear" w:color="auto" w:fill="FFFFFF"/>
        <w:spacing w:after="158" w:line="240" w:lineRule="auto"/>
        <w:rPr>
          <w:lang w:val="en-US" w:eastAsia="it-IT"/>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tblGrid>
      <w:tr w:rsidR="00C110C3" w14:paraId="6522B8DD" w14:textId="77777777" w:rsidTr="00F74B48">
        <w:tc>
          <w:tcPr>
            <w:tcW w:w="6941" w:type="dxa"/>
          </w:tcPr>
          <w:p w14:paraId="084EF2C3" w14:textId="77777777" w:rsidR="00C110C3" w:rsidRDefault="00C110C3" w:rsidP="00CF42D7">
            <w:pPr>
              <w:rPr>
                <w:lang w:val="en-US" w:eastAsia="it-IT"/>
              </w:rPr>
            </w:pPr>
            <w:r>
              <w:rPr>
                <w:noProof/>
              </w:rPr>
              <w:drawing>
                <wp:inline distT="0" distB="0" distL="0" distR="0" wp14:anchorId="5C4D5343" wp14:editId="65D084AA">
                  <wp:extent cx="4123267" cy="1762482"/>
                  <wp:effectExtent l="0" t="0" r="0" b="9525"/>
                  <wp:docPr id="1" name="Immagine 1" descr="I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a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8860" cy="1769147"/>
                          </a:xfrm>
                          <a:prstGeom prst="rect">
                            <a:avLst/>
                          </a:prstGeom>
                          <a:noFill/>
                          <a:ln>
                            <a:noFill/>
                          </a:ln>
                        </pic:spPr>
                      </pic:pic>
                    </a:graphicData>
                  </a:graphic>
                </wp:inline>
              </w:drawing>
            </w:r>
          </w:p>
          <w:p w14:paraId="187F4264" w14:textId="7B3265C6" w:rsidR="00C110C3" w:rsidRDefault="00C110C3" w:rsidP="00CF42D7">
            <w:pPr>
              <w:rPr>
                <w:lang w:val="en-US" w:eastAsia="it-IT"/>
              </w:rPr>
            </w:pPr>
            <w:r>
              <w:rPr>
                <w:lang w:val="en-US" w:eastAsia="it-IT"/>
              </w:rPr>
              <w:t xml:space="preserve">Figure 1 </w:t>
            </w:r>
            <w:r w:rsidR="00F74B48">
              <w:rPr>
                <w:lang w:val="en-US" w:eastAsia="it-IT"/>
              </w:rPr>
              <w:t>GATEKEEPER Objectives</w:t>
            </w:r>
          </w:p>
        </w:tc>
      </w:tr>
    </w:tbl>
    <w:p w14:paraId="6F0F15F1" w14:textId="36F44F02" w:rsidR="00CF42D7" w:rsidRDefault="00CF42D7" w:rsidP="00CF42D7">
      <w:pPr>
        <w:rPr>
          <w:lang w:val="en-US" w:eastAsia="it-IT"/>
        </w:rPr>
      </w:pPr>
    </w:p>
    <w:p w14:paraId="63FAFFB2" w14:textId="4ED5DE57" w:rsidR="00ED05B2" w:rsidRPr="00ED05B2" w:rsidRDefault="00ED05B2" w:rsidP="00ED05B2">
      <w:pPr>
        <w:rPr>
          <w:lang w:val="en-US" w:eastAsia="it-IT"/>
        </w:rPr>
      </w:pPr>
      <w:r w:rsidRPr="00ED05B2">
        <w:rPr>
          <w:lang w:val="en-US" w:eastAsia="it-IT"/>
        </w:rPr>
        <w:t>The creation of the platform, is supported by the following specific objectives</w:t>
      </w:r>
      <w:r w:rsidR="00301F9D">
        <w:rPr>
          <w:lang w:val="en-US" w:eastAsia="it-IT"/>
        </w:rPr>
        <w:t xml:space="preserve">, summarized in figure 1, </w:t>
      </w:r>
      <w:r w:rsidR="004F134D">
        <w:rPr>
          <w:lang w:val="en-US" w:eastAsia="it-IT"/>
        </w:rPr>
        <w:t>including the delivery of</w:t>
      </w:r>
      <w:r w:rsidRPr="00ED05B2">
        <w:rPr>
          <w:lang w:val="en-US" w:eastAsia="it-IT"/>
        </w:rPr>
        <w:t>:</w:t>
      </w:r>
    </w:p>
    <w:p w14:paraId="67F3F1AB" w14:textId="2D8C788F" w:rsidR="00ED05B2" w:rsidRPr="0045030A" w:rsidRDefault="00270D11" w:rsidP="0045030A">
      <w:pPr>
        <w:pStyle w:val="Paragrafoelenco"/>
        <w:numPr>
          <w:ilvl w:val="0"/>
          <w:numId w:val="10"/>
        </w:numPr>
        <w:rPr>
          <w:lang w:val="en-US" w:eastAsia="it-IT"/>
        </w:rPr>
      </w:pPr>
      <w:r>
        <w:rPr>
          <w:lang w:val="en-US" w:eastAsia="it-IT"/>
        </w:rPr>
        <w:t xml:space="preserve">the delivery of </w:t>
      </w:r>
      <w:r w:rsidR="00ED05B2" w:rsidRPr="0045030A">
        <w:rPr>
          <w:lang w:val="en-US" w:eastAsia="it-IT"/>
        </w:rPr>
        <w:t xml:space="preserve">the GATEKEEPER DIGITAL PLATFORM implemented through fault tolerant, secure, flexible and scalable micro-services infrastructure, based on open source and data standards, built on top of reference W3C-Web of Things architectural models and including services referred to the health domain through </w:t>
      </w:r>
      <w:r w:rsidR="00ED05B2" w:rsidRPr="001C3C41">
        <w:rPr>
          <w:b/>
          <w:bCs/>
          <w:lang w:val="en-US" w:eastAsia="it-IT"/>
        </w:rPr>
        <w:t xml:space="preserve">HL7-FHIR </w:t>
      </w:r>
      <w:r w:rsidR="00ED05B2" w:rsidRPr="0045030A">
        <w:rPr>
          <w:lang w:val="en-US" w:eastAsia="it-IT"/>
        </w:rPr>
        <w:t>and to the home domain through SAREF.</w:t>
      </w:r>
    </w:p>
    <w:p w14:paraId="148B1A4B" w14:textId="00F9D501" w:rsidR="00ED05B2" w:rsidRPr="0045030A" w:rsidRDefault="00270D11" w:rsidP="0045030A">
      <w:pPr>
        <w:pStyle w:val="Paragrafoelenco"/>
        <w:numPr>
          <w:ilvl w:val="0"/>
          <w:numId w:val="10"/>
        </w:numPr>
        <w:rPr>
          <w:lang w:val="en-US" w:eastAsia="it-IT"/>
        </w:rPr>
      </w:pPr>
      <w:r>
        <w:rPr>
          <w:lang w:val="en-US" w:eastAsia="it-IT"/>
        </w:rPr>
        <w:t xml:space="preserve">the delivery of </w:t>
      </w:r>
      <w:r w:rsidR="00ED05B2" w:rsidRPr="0045030A">
        <w:rPr>
          <w:lang w:val="en-US" w:eastAsia="it-IT"/>
        </w:rPr>
        <w:t>the GATEKEEPER HEALTHCARE SPACE, where intuitive and self-configuring dashboards, intelligent services for early risk detection and care plans, and a federated data infrastructure are provided to healthcare professionals.</w:t>
      </w:r>
    </w:p>
    <w:p w14:paraId="6D7B04BB" w14:textId="5E64747E" w:rsidR="00ED05B2" w:rsidRPr="0045030A" w:rsidRDefault="00BD7B0F" w:rsidP="0045030A">
      <w:pPr>
        <w:pStyle w:val="Paragrafoelenco"/>
        <w:numPr>
          <w:ilvl w:val="0"/>
          <w:numId w:val="10"/>
        </w:numPr>
        <w:rPr>
          <w:lang w:val="en-US" w:eastAsia="it-IT"/>
        </w:rPr>
      </w:pPr>
      <w:r>
        <w:rPr>
          <w:lang w:val="en-US" w:eastAsia="it-IT"/>
        </w:rPr>
        <w:t xml:space="preserve">The execution of a </w:t>
      </w:r>
      <w:r w:rsidR="00ED05B2" w:rsidRPr="0045030A">
        <w:rPr>
          <w:lang w:val="en-US" w:eastAsia="it-IT"/>
        </w:rPr>
        <w:t>series of PILOTS to demonstrate the effect, benefit, value and scalability of the GATEKEEPER solutions around REFERENCE USE CASES COVERING PRIMARY, SECONDARY and TERTIARY PREVENTION, initially deployed in 8 regions of 7 European countries.</w:t>
      </w:r>
    </w:p>
    <w:p w14:paraId="5587C688" w14:textId="588CCC88" w:rsidR="00ED05B2" w:rsidRPr="00BD7B0F" w:rsidRDefault="00270D11" w:rsidP="00E86CF7">
      <w:pPr>
        <w:pStyle w:val="Paragrafoelenco"/>
        <w:numPr>
          <w:ilvl w:val="0"/>
          <w:numId w:val="10"/>
        </w:numPr>
        <w:rPr>
          <w:lang w:val="en-US" w:eastAsia="it-IT"/>
        </w:rPr>
      </w:pPr>
      <w:r w:rsidRPr="00BD7B0F">
        <w:rPr>
          <w:lang w:val="en-US" w:eastAsia="it-IT"/>
        </w:rPr>
        <w:t xml:space="preserve">The implementation of a </w:t>
      </w:r>
      <w:r w:rsidR="00ED05B2" w:rsidRPr="00BD7B0F">
        <w:rPr>
          <w:lang w:val="en-US" w:eastAsia="it-IT"/>
        </w:rPr>
        <w:t>STANDARDIZATION STRATEGY that allow the GATEKEEPER solution to be aligned with SDOs around legal and privacy aspects, healthcare, ageing, homes, cities and energies, IoT, Big Data and other Key Enabling Technologies, as well as value-based procurement.</w:t>
      </w:r>
    </w:p>
    <w:p w14:paraId="07705C7F" w14:textId="77777777" w:rsidR="00ED05B2" w:rsidRDefault="00ED05B2" w:rsidP="00CF42D7">
      <w:pPr>
        <w:rPr>
          <w:lang w:val="en-US" w:eastAsia="it-IT"/>
        </w:rPr>
      </w:pPr>
    </w:p>
    <w:p w14:paraId="6B8055DB" w14:textId="4AF601F1" w:rsidR="00CB36FF" w:rsidRPr="00D43FCB" w:rsidRDefault="00CB36FF" w:rsidP="00A907D9">
      <w:pPr>
        <w:rPr>
          <w:lang w:val="en-US"/>
        </w:rPr>
      </w:pPr>
    </w:p>
    <w:p w14:paraId="71D10D48" w14:textId="08B36AA5" w:rsidR="00041908" w:rsidRDefault="00041908" w:rsidP="00A907D9">
      <w:pPr>
        <w:pStyle w:val="Titolo3"/>
        <w:rPr>
          <w:lang w:val="en-US"/>
        </w:rPr>
      </w:pPr>
      <w:bookmarkStart w:id="0" w:name="technical"/>
      <w:bookmarkEnd w:id="0"/>
      <w:r>
        <w:rPr>
          <w:lang w:val="en-US"/>
        </w:rPr>
        <w:t>Aut</w:t>
      </w:r>
      <w:r w:rsidR="002E70BE">
        <w:rPr>
          <w:lang w:val="en-US"/>
        </w:rPr>
        <w:t>hors</w:t>
      </w:r>
      <w:r>
        <w:rPr>
          <w:lang w:val="en-US"/>
        </w:rPr>
        <w:t xml:space="preserve"> </w:t>
      </w:r>
      <w:r w:rsidR="002E70BE">
        <w:rPr>
          <w:lang w:val="en-US"/>
        </w:rPr>
        <w:t>and Contributors</w:t>
      </w:r>
    </w:p>
    <w:tbl>
      <w:tblPr>
        <w:tblStyle w:val="Tabellagriglia1chiara"/>
        <w:tblW w:w="0" w:type="auto"/>
        <w:tblLook w:val="04A0" w:firstRow="1" w:lastRow="0" w:firstColumn="1" w:lastColumn="0" w:noHBand="0" w:noVBand="1"/>
      </w:tblPr>
      <w:tblGrid>
        <w:gridCol w:w="1886"/>
        <w:gridCol w:w="2099"/>
        <w:gridCol w:w="2745"/>
        <w:gridCol w:w="2898"/>
      </w:tblGrid>
      <w:tr w:rsidR="00E71DB8" w14:paraId="7A677539" w14:textId="24FC6BB0" w:rsidTr="007D2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tcPr>
          <w:p w14:paraId="5DB9FD4F" w14:textId="6461B51C" w:rsidR="00E71DB8" w:rsidRPr="00E44091" w:rsidRDefault="00E71DB8" w:rsidP="00A907D9">
            <w:proofErr w:type="spellStart"/>
            <w:r w:rsidRPr="00E44091">
              <w:t>R</w:t>
            </w:r>
            <w:r w:rsidR="002E70BE">
              <w:t>oles</w:t>
            </w:r>
            <w:proofErr w:type="spellEnd"/>
          </w:p>
        </w:tc>
        <w:tc>
          <w:tcPr>
            <w:tcW w:w="2099" w:type="dxa"/>
          </w:tcPr>
          <w:p w14:paraId="43379E55" w14:textId="5F510810" w:rsidR="00E71DB8" w:rsidRPr="00041908" w:rsidRDefault="002E70BE" w:rsidP="00A907D9">
            <w:pPr>
              <w:cnfStyle w:val="100000000000" w:firstRow="1" w:lastRow="0" w:firstColumn="0" w:lastColumn="0" w:oddVBand="0" w:evenVBand="0" w:oddHBand="0" w:evenHBand="0" w:firstRowFirstColumn="0" w:firstRowLastColumn="0" w:lastRowFirstColumn="0" w:lastRowLastColumn="0"/>
            </w:pPr>
            <w:r>
              <w:t>Name</w:t>
            </w:r>
          </w:p>
        </w:tc>
        <w:tc>
          <w:tcPr>
            <w:tcW w:w="2745" w:type="dxa"/>
          </w:tcPr>
          <w:p w14:paraId="47C20C87" w14:textId="2E4EC36A" w:rsidR="00E71DB8" w:rsidRPr="00041908" w:rsidRDefault="00E71DB8" w:rsidP="00A907D9">
            <w:pPr>
              <w:cnfStyle w:val="100000000000" w:firstRow="1" w:lastRow="0" w:firstColumn="0" w:lastColumn="0" w:oddVBand="0" w:evenVBand="0" w:oddHBand="0" w:evenHBand="0" w:firstRowFirstColumn="0" w:firstRowLastColumn="0" w:lastRowFirstColumn="0" w:lastRowLastColumn="0"/>
            </w:pPr>
            <w:r w:rsidRPr="00041908">
              <w:t>Organi</w:t>
            </w:r>
            <w:r w:rsidR="002E70BE">
              <w:t>zation</w:t>
            </w:r>
          </w:p>
        </w:tc>
        <w:tc>
          <w:tcPr>
            <w:tcW w:w="2898" w:type="dxa"/>
          </w:tcPr>
          <w:p w14:paraId="02BBFE55" w14:textId="4F881E64" w:rsidR="00E71DB8" w:rsidRPr="00041908" w:rsidRDefault="002E70BE" w:rsidP="00A907D9">
            <w:pPr>
              <w:cnfStyle w:val="100000000000" w:firstRow="1" w:lastRow="0" w:firstColumn="0" w:lastColumn="0" w:oddVBand="0" w:evenVBand="0" w:oddHBand="0" w:evenHBand="0" w:firstRowFirstColumn="0" w:firstRowLastColumn="0" w:lastRowFirstColumn="0" w:lastRowLastColumn="0"/>
            </w:pPr>
            <w:proofErr w:type="spellStart"/>
            <w:r>
              <w:t>Contact</w:t>
            </w:r>
            <w:proofErr w:type="spellEnd"/>
          </w:p>
        </w:tc>
      </w:tr>
      <w:tr w:rsidR="00E71DB8" w:rsidRPr="00E71DB8" w14:paraId="6AE6108D" w14:textId="0118A99F" w:rsidTr="007D224A">
        <w:tc>
          <w:tcPr>
            <w:cnfStyle w:val="001000000000" w:firstRow="0" w:lastRow="0" w:firstColumn="1" w:lastColumn="0" w:oddVBand="0" w:evenVBand="0" w:oddHBand="0" w:evenHBand="0" w:firstRowFirstColumn="0" w:firstRowLastColumn="0" w:lastRowFirstColumn="0" w:lastRowLastColumn="0"/>
            <w:tcW w:w="1886" w:type="dxa"/>
          </w:tcPr>
          <w:p w14:paraId="6E091845" w14:textId="77777777" w:rsidR="00E71DB8" w:rsidRPr="00041908" w:rsidRDefault="00E71DB8" w:rsidP="00A907D9">
            <w:r w:rsidRPr="00041908">
              <w:t>Autore</w:t>
            </w:r>
          </w:p>
        </w:tc>
        <w:tc>
          <w:tcPr>
            <w:tcW w:w="2099" w:type="dxa"/>
          </w:tcPr>
          <w:p w14:paraId="6DF505FA" w14:textId="77777777" w:rsidR="00E71DB8" w:rsidRDefault="00E71DB8" w:rsidP="00A907D9">
            <w:pPr>
              <w:cnfStyle w:val="000000000000" w:firstRow="0" w:lastRow="0" w:firstColumn="0" w:lastColumn="0" w:oddVBand="0" w:evenVBand="0" w:oddHBand="0" w:evenHBand="0" w:firstRowFirstColumn="0" w:firstRowLastColumn="0" w:lastRowFirstColumn="0" w:lastRowLastColumn="0"/>
            </w:pPr>
            <w:r>
              <w:t>Giorgio Cangioli</w:t>
            </w:r>
          </w:p>
        </w:tc>
        <w:tc>
          <w:tcPr>
            <w:tcW w:w="2745" w:type="dxa"/>
          </w:tcPr>
          <w:p w14:paraId="6BF32BD9" w14:textId="574684ED" w:rsidR="00E71DB8" w:rsidRDefault="002E70BE" w:rsidP="00A907D9">
            <w:pPr>
              <w:cnfStyle w:val="000000000000" w:firstRow="0" w:lastRow="0" w:firstColumn="0" w:lastColumn="0" w:oddVBand="0" w:evenVBand="0" w:oddHBand="0" w:evenHBand="0" w:firstRowFirstColumn="0" w:firstRowLastColumn="0" w:lastRowFirstColumn="0" w:lastRowLastColumn="0"/>
            </w:pPr>
            <w:r>
              <w:t>HL7 Europe</w:t>
            </w:r>
          </w:p>
        </w:tc>
        <w:tc>
          <w:tcPr>
            <w:tcW w:w="2898" w:type="dxa"/>
          </w:tcPr>
          <w:p w14:paraId="2A2FE8B8" w14:textId="7A367877" w:rsidR="00E71DB8" w:rsidRPr="008214A5" w:rsidRDefault="00E71DB8" w:rsidP="00A907D9">
            <w:pPr>
              <w:cnfStyle w:val="000000000000" w:firstRow="0" w:lastRow="0" w:firstColumn="0" w:lastColumn="0" w:oddVBand="0" w:evenVBand="0" w:oddHBand="0" w:evenHBand="0" w:firstRowFirstColumn="0" w:firstRowLastColumn="0" w:lastRowFirstColumn="0" w:lastRowLastColumn="0"/>
              <w:rPr>
                <w:lang w:val="en-US"/>
              </w:rPr>
            </w:pPr>
            <w:r w:rsidRPr="008214A5">
              <w:rPr>
                <w:lang w:val="en-US"/>
              </w:rPr>
              <w:t>giorgio.cangioli_at_gmail.com</w:t>
            </w:r>
          </w:p>
        </w:tc>
      </w:tr>
      <w:tr w:rsidR="00E71DB8" w:rsidRPr="00E71DB8" w14:paraId="297811A2" w14:textId="0AFFAEE9" w:rsidTr="007D224A">
        <w:tc>
          <w:tcPr>
            <w:cnfStyle w:val="001000000000" w:firstRow="0" w:lastRow="0" w:firstColumn="1" w:lastColumn="0" w:oddVBand="0" w:evenVBand="0" w:oddHBand="0" w:evenHBand="0" w:firstRowFirstColumn="0" w:firstRowLastColumn="0" w:lastRowFirstColumn="0" w:lastRowLastColumn="0"/>
            <w:tcW w:w="1886" w:type="dxa"/>
          </w:tcPr>
          <w:p w14:paraId="02DFFECE" w14:textId="77777777" w:rsidR="00E71DB8" w:rsidRPr="00E71DB8" w:rsidRDefault="00E71DB8" w:rsidP="00A907D9">
            <w:pPr>
              <w:rPr>
                <w:lang w:val="en-US"/>
              </w:rPr>
            </w:pPr>
          </w:p>
        </w:tc>
        <w:tc>
          <w:tcPr>
            <w:tcW w:w="2099" w:type="dxa"/>
          </w:tcPr>
          <w:p w14:paraId="663EE400" w14:textId="77777777" w:rsidR="00E71DB8" w:rsidRPr="00E71DB8" w:rsidRDefault="00E71DB8" w:rsidP="00A907D9">
            <w:pPr>
              <w:cnfStyle w:val="000000000000" w:firstRow="0" w:lastRow="0" w:firstColumn="0" w:lastColumn="0" w:oddVBand="0" w:evenVBand="0" w:oddHBand="0" w:evenHBand="0" w:firstRowFirstColumn="0" w:firstRowLastColumn="0" w:lastRowFirstColumn="0" w:lastRowLastColumn="0"/>
              <w:rPr>
                <w:lang w:val="en-US"/>
              </w:rPr>
            </w:pPr>
          </w:p>
        </w:tc>
        <w:tc>
          <w:tcPr>
            <w:tcW w:w="2745" w:type="dxa"/>
          </w:tcPr>
          <w:p w14:paraId="15BDB291" w14:textId="77777777" w:rsidR="00E71DB8" w:rsidRPr="008214A5" w:rsidRDefault="00E71DB8" w:rsidP="00A907D9">
            <w:pPr>
              <w:cnfStyle w:val="000000000000" w:firstRow="0" w:lastRow="0" w:firstColumn="0" w:lastColumn="0" w:oddVBand="0" w:evenVBand="0" w:oddHBand="0" w:evenHBand="0" w:firstRowFirstColumn="0" w:firstRowLastColumn="0" w:lastRowFirstColumn="0" w:lastRowLastColumn="0"/>
              <w:rPr>
                <w:u w:val="single"/>
                <w:lang w:val="en-US"/>
              </w:rPr>
            </w:pPr>
          </w:p>
        </w:tc>
        <w:tc>
          <w:tcPr>
            <w:tcW w:w="2898" w:type="dxa"/>
          </w:tcPr>
          <w:p w14:paraId="0DE5DFB3" w14:textId="77777777" w:rsidR="00E71DB8" w:rsidRPr="008214A5" w:rsidRDefault="00E71DB8" w:rsidP="00A907D9">
            <w:pPr>
              <w:cnfStyle w:val="000000000000" w:firstRow="0" w:lastRow="0" w:firstColumn="0" w:lastColumn="0" w:oddVBand="0" w:evenVBand="0" w:oddHBand="0" w:evenHBand="0" w:firstRowFirstColumn="0" w:firstRowLastColumn="0" w:lastRowFirstColumn="0" w:lastRowLastColumn="0"/>
              <w:rPr>
                <w:lang w:val="en-US"/>
              </w:rPr>
            </w:pPr>
          </w:p>
        </w:tc>
      </w:tr>
      <w:tr w:rsidR="00E71DB8" w14:paraId="00675FEF" w14:textId="46C396F4" w:rsidTr="007D224A">
        <w:tc>
          <w:tcPr>
            <w:cnfStyle w:val="001000000000" w:firstRow="0" w:lastRow="0" w:firstColumn="1" w:lastColumn="0" w:oddVBand="0" w:evenVBand="0" w:oddHBand="0" w:evenHBand="0" w:firstRowFirstColumn="0" w:firstRowLastColumn="0" w:lastRowFirstColumn="0" w:lastRowLastColumn="0"/>
            <w:tcW w:w="1886" w:type="dxa"/>
          </w:tcPr>
          <w:p w14:paraId="20112150" w14:textId="47665708" w:rsidR="00E71DB8" w:rsidRPr="00041908" w:rsidRDefault="00E71DB8" w:rsidP="00A907D9">
            <w:r w:rsidRPr="00041908">
              <w:t>Contributor</w:t>
            </w:r>
          </w:p>
        </w:tc>
        <w:tc>
          <w:tcPr>
            <w:tcW w:w="2099" w:type="dxa"/>
          </w:tcPr>
          <w:p w14:paraId="4C37AF1C" w14:textId="5445A313" w:rsidR="00E71DB8" w:rsidRDefault="00E71DB8" w:rsidP="00A907D9">
            <w:pPr>
              <w:cnfStyle w:val="000000000000" w:firstRow="0" w:lastRow="0" w:firstColumn="0" w:lastColumn="0" w:oddVBand="0" w:evenVBand="0" w:oddHBand="0" w:evenHBand="0" w:firstRowFirstColumn="0" w:firstRowLastColumn="0" w:lastRowFirstColumn="0" w:lastRowLastColumn="0"/>
            </w:pPr>
          </w:p>
        </w:tc>
        <w:tc>
          <w:tcPr>
            <w:tcW w:w="2745" w:type="dxa"/>
          </w:tcPr>
          <w:p w14:paraId="0F45B618" w14:textId="0C6D32E1" w:rsidR="00E71DB8" w:rsidRDefault="00E71DB8" w:rsidP="00A907D9">
            <w:pPr>
              <w:cnfStyle w:val="000000000000" w:firstRow="0" w:lastRow="0" w:firstColumn="0" w:lastColumn="0" w:oddVBand="0" w:evenVBand="0" w:oddHBand="0" w:evenHBand="0" w:firstRowFirstColumn="0" w:firstRowLastColumn="0" w:lastRowFirstColumn="0" w:lastRowLastColumn="0"/>
            </w:pPr>
          </w:p>
        </w:tc>
        <w:tc>
          <w:tcPr>
            <w:tcW w:w="2898" w:type="dxa"/>
          </w:tcPr>
          <w:p w14:paraId="5882E452" w14:textId="3C25AD11" w:rsidR="00E71DB8" w:rsidRPr="008214A5" w:rsidRDefault="00E71DB8" w:rsidP="00A907D9">
            <w:pPr>
              <w:cnfStyle w:val="000000000000" w:firstRow="0" w:lastRow="0" w:firstColumn="0" w:lastColumn="0" w:oddVBand="0" w:evenVBand="0" w:oddHBand="0" w:evenHBand="0" w:firstRowFirstColumn="0" w:firstRowLastColumn="0" w:lastRowFirstColumn="0" w:lastRowLastColumn="0"/>
            </w:pPr>
          </w:p>
        </w:tc>
      </w:tr>
      <w:tr w:rsidR="00E71DB8" w14:paraId="17A52C0B" w14:textId="361377AB" w:rsidTr="007D224A">
        <w:tc>
          <w:tcPr>
            <w:cnfStyle w:val="001000000000" w:firstRow="0" w:lastRow="0" w:firstColumn="1" w:lastColumn="0" w:oddVBand="0" w:evenVBand="0" w:oddHBand="0" w:evenHBand="0" w:firstRowFirstColumn="0" w:firstRowLastColumn="0" w:lastRowFirstColumn="0" w:lastRowLastColumn="0"/>
            <w:tcW w:w="1886" w:type="dxa"/>
          </w:tcPr>
          <w:p w14:paraId="662EB843" w14:textId="02C73F0A" w:rsidR="00E71DB8" w:rsidRPr="00041908" w:rsidRDefault="002E70BE" w:rsidP="002671A4">
            <w:r w:rsidRPr="00041908">
              <w:t>Contributor</w:t>
            </w:r>
          </w:p>
        </w:tc>
        <w:tc>
          <w:tcPr>
            <w:tcW w:w="2099" w:type="dxa"/>
          </w:tcPr>
          <w:p w14:paraId="295FE0AC" w14:textId="149E10D1" w:rsidR="00E71DB8" w:rsidRDefault="00E71DB8" w:rsidP="002671A4">
            <w:pPr>
              <w:cnfStyle w:val="000000000000" w:firstRow="0" w:lastRow="0" w:firstColumn="0" w:lastColumn="0" w:oddVBand="0" w:evenVBand="0" w:oddHBand="0" w:evenHBand="0" w:firstRowFirstColumn="0" w:firstRowLastColumn="0" w:lastRowFirstColumn="0" w:lastRowLastColumn="0"/>
            </w:pPr>
          </w:p>
        </w:tc>
        <w:tc>
          <w:tcPr>
            <w:tcW w:w="2745" w:type="dxa"/>
          </w:tcPr>
          <w:p w14:paraId="5E3AFA67" w14:textId="596862AB" w:rsidR="00E71DB8" w:rsidRDefault="00E71DB8" w:rsidP="00C82905">
            <w:pPr>
              <w:pStyle w:val="Testonormale"/>
              <w:cnfStyle w:val="000000000000" w:firstRow="0" w:lastRow="0" w:firstColumn="0" w:lastColumn="0" w:oddVBand="0" w:evenVBand="0" w:oddHBand="0" w:evenHBand="0" w:firstRowFirstColumn="0" w:firstRowLastColumn="0" w:lastRowFirstColumn="0" w:lastRowLastColumn="0"/>
            </w:pPr>
          </w:p>
        </w:tc>
        <w:tc>
          <w:tcPr>
            <w:tcW w:w="2898" w:type="dxa"/>
          </w:tcPr>
          <w:p w14:paraId="23E2A827" w14:textId="6507056F" w:rsidR="00E71DB8" w:rsidRDefault="00E71DB8" w:rsidP="00C82905">
            <w:pPr>
              <w:pStyle w:val="Testonormale"/>
              <w:cnfStyle w:val="000000000000" w:firstRow="0" w:lastRow="0" w:firstColumn="0" w:lastColumn="0" w:oddVBand="0" w:evenVBand="0" w:oddHBand="0" w:evenHBand="0" w:firstRowFirstColumn="0" w:firstRowLastColumn="0" w:lastRowFirstColumn="0" w:lastRowLastColumn="0"/>
            </w:pPr>
          </w:p>
        </w:tc>
      </w:tr>
    </w:tbl>
    <w:p w14:paraId="6996B79D" w14:textId="77777777" w:rsidR="00041908" w:rsidRPr="00C82905" w:rsidRDefault="00041908" w:rsidP="00A907D9"/>
    <w:sectPr w:rsidR="00041908" w:rsidRPr="00C829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7"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8"/>
  </w:num>
  <w:num w:numId="2">
    <w:abstractNumId w:val="5"/>
  </w:num>
  <w:num w:numId="3">
    <w:abstractNumId w:val="2"/>
  </w:num>
  <w:num w:numId="4">
    <w:abstractNumId w:val="1"/>
  </w:num>
  <w:num w:numId="5">
    <w:abstractNumId w:val="3"/>
  </w:num>
  <w:num w:numId="6">
    <w:abstractNumId w:val="7"/>
  </w:num>
  <w:num w:numId="7">
    <w:abstractNumId w:val="0"/>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41908"/>
    <w:rsid w:val="000519BB"/>
    <w:rsid w:val="00053900"/>
    <w:rsid w:val="00126888"/>
    <w:rsid w:val="001C3C41"/>
    <w:rsid w:val="001F3083"/>
    <w:rsid w:val="002074A0"/>
    <w:rsid w:val="002077FC"/>
    <w:rsid w:val="0023346A"/>
    <w:rsid w:val="00270D11"/>
    <w:rsid w:val="002C0E23"/>
    <w:rsid w:val="002E70BE"/>
    <w:rsid w:val="00301F9D"/>
    <w:rsid w:val="003B0FAE"/>
    <w:rsid w:val="003F0C43"/>
    <w:rsid w:val="0045030A"/>
    <w:rsid w:val="004A53A0"/>
    <w:rsid w:val="004F134D"/>
    <w:rsid w:val="00506005"/>
    <w:rsid w:val="005E6C2C"/>
    <w:rsid w:val="00617972"/>
    <w:rsid w:val="006B5A79"/>
    <w:rsid w:val="00735709"/>
    <w:rsid w:val="007603A3"/>
    <w:rsid w:val="00772CC7"/>
    <w:rsid w:val="007D0507"/>
    <w:rsid w:val="007D224A"/>
    <w:rsid w:val="007E6475"/>
    <w:rsid w:val="007F560A"/>
    <w:rsid w:val="007F5725"/>
    <w:rsid w:val="0080223B"/>
    <w:rsid w:val="008214A5"/>
    <w:rsid w:val="008251B3"/>
    <w:rsid w:val="00894024"/>
    <w:rsid w:val="008B0CFB"/>
    <w:rsid w:val="00907BEA"/>
    <w:rsid w:val="00917280"/>
    <w:rsid w:val="00970722"/>
    <w:rsid w:val="009B5592"/>
    <w:rsid w:val="009D1FE1"/>
    <w:rsid w:val="00A558B9"/>
    <w:rsid w:val="00A907D9"/>
    <w:rsid w:val="00A97B01"/>
    <w:rsid w:val="00AB4541"/>
    <w:rsid w:val="00AB7D4A"/>
    <w:rsid w:val="00B27476"/>
    <w:rsid w:val="00B73DD8"/>
    <w:rsid w:val="00B847A0"/>
    <w:rsid w:val="00BB7DDD"/>
    <w:rsid w:val="00BC782D"/>
    <w:rsid w:val="00BD7B0F"/>
    <w:rsid w:val="00C042BD"/>
    <w:rsid w:val="00C110C3"/>
    <w:rsid w:val="00C1723E"/>
    <w:rsid w:val="00C8070D"/>
    <w:rsid w:val="00C82905"/>
    <w:rsid w:val="00CB36FF"/>
    <w:rsid w:val="00CC75B3"/>
    <w:rsid w:val="00CF42D7"/>
    <w:rsid w:val="00D43FCB"/>
    <w:rsid w:val="00D61B67"/>
    <w:rsid w:val="00D7292C"/>
    <w:rsid w:val="00D90768"/>
    <w:rsid w:val="00E2517C"/>
    <w:rsid w:val="00E44091"/>
    <w:rsid w:val="00E5687E"/>
    <w:rsid w:val="00E71DB8"/>
    <w:rsid w:val="00E845E5"/>
    <w:rsid w:val="00EB26E8"/>
    <w:rsid w:val="00ED05B2"/>
    <w:rsid w:val="00ED3C02"/>
    <w:rsid w:val="00F74B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Pages>
  <Words>362</Words>
  <Characters>2067</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63</cp:revision>
  <dcterms:created xsi:type="dcterms:W3CDTF">2020-04-05T12:56:00Z</dcterms:created>
  <dcterms:modified xsi:type="dcterms:W3CDTF">2020-10-04T13:37:00Z</dcterms:modified>
</cp:coreProperties>
</file>